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D-1455/2015 vom 26. Mai 2015</w:t>
      </w:r>
    </w:p>
    <w:p>
      <w:r>
        <w:t>Bundesverwaltungsgericht, 2015-05-26, DE</w:t>
      </w:r>
    </w:p>
    <w:p>
      <w:r>
        <w:rPr>
          <w:b/>
        </w:rPr>
        <w:t xml:space="preserve">Quelle: </w:t>
      </w:r>
      <w:r>
        <w:t>https://mcp.opencaselaw.ch/entscheid/bvger_D-1455_2015</w:t>
      </w:r>
    </w:p>
    <w:p>
      <w:r>
        <w:t>FR: TAF D-1455/2015 du 26 mai 2015</w:t>
      </w:r>
    </w:p>
    <w:p>
      <w:r>
        <w:t>IT: TAF D-1455/2015 del 26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w:t>
      </w:r>
    </w:p>
    <w:p>
      <w:r>
        <w:t>Die Vorinstanz hielt es zwar für wahrscheinlich, dass die Beschwerdeführerin tibetischer Ethnie sei, erachtete jedoch die von ihr geltend gemachte Herkunft aus Tibet sowie ihre Fluchtgründe als nicht glaubhaft (Art. 7 AsylG); es sei vielmehr davon auszugehen, dass die Beschwerdeführerin nicht auf tibetischem beziehungsweise chinesischem Gebiet gelebt habe.</w:t>
      </w:r>
    </w:p>
    <w:p>
      <w:r>
        <w:rPr>
          <w:b/>
        </w:rPr>
        <w:t>E. 4.1</w:t>
      </w:r>
    </w:p>
    <w:p>
      <w:r>
        <w:t>Das Bundesverwaltungsgericht hat seine bis anhin gültige Praxis gemäss Entscheidungen und Mitteilungen der [vormaligen] Schweizerischen Asylrekurskommission [EMARK] 2005 Nr. 1 sowie BVGE 2009/29 in BVGE 2014/12 (Urteil vom 20. Mai 2014) einer eingehenden Überprüfung unterzogen. Es ist dabei zum Schluss gelangt, dass für Angehörige der tibetischen Ethnie sowohl in Nepal als auch in Indien die Möglichkeit bestehe, unter gewissen Bedingungen eine Aufenthaltsbewilligung zu erhalten, und es unter engen Voraussetzungen auch möglich sei, die entsprechende Staatsangehörigkeit zu erwerben, womit die chinesische Staatsangehörigkeit wegfalle. Es müsse aber (weiterhin) davon ausgegangen werden, dass ein grosser Teil der in Nepal und Indien lebenden Exil-Tibeterinnen und -Tibeter keine neue Staatsangehörigkeit erworben habe und nach wie vor die chinesische Staatsangehörigkeit besitze (vgl. BVGE 2014/12 E. 5.8). Weiter wurde im besagten BVGE präzisierend festgestellt, dass bei Personen tibetischer Ethnie, die ihre wahre Identität verschleiern oder verheimlichen,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der Mitwirkungspflicht die Abklärung, welchen effektiven Status er in Nepal respektive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5.8-5.10). Aufgrund des Gesagten kommt der Frage der Verlässlichkeit der Herkunftsangaben der asylsuchenden Person wesentliche Bedeutung zu.</w:t>
      </w:r>
    </w:p>
    <w:p>
      <w:r>
        <w:rPr>
          <w:b/>
        </w:rPr>
        <w:t>E. 4.2</w:t>
      </w:r>
    </w:p>
    <w:p>
      <w:r>
        <w:t>Das BFM beurteilte die Frage der Herkunft der Beschwerdeführerin einzig gestützt auf deren Aussagen anlässlich der Befragung vom 14. November 2012 und der Anhörung vom 27. Mai 2014. Es erachtete die Antworten zu den Fragen zum Alltags- und Länderwissen als ungenügend und kam gestützt darauf zum Schluss, dass die Beschwerdeführerin nicht aus Tibet stamme. Ein Lingua-Gutachten, mit welchem die sprachlichen und landeskundlich-kulturellen Kenntnisse eines Asylsuchenden durch einen entsprechend befähigten Experten geprüft werden, wurde nicht erstellt.</w:t>
      </w:r>
    </w:p>
    <w:p>
      <w:r>
        <w:rPr>
          <w:b/>
        </w:rPr>
        <w:t>E. 4.2.1</w:t>
      </w:r>
    </w:p>
    <w:p>
      <w:r>
        <w:t>Das Gesetz sieht zwar keine Pflicht zur Erstellung eines Lingua-Gutachtens vor. Die Behörde ist aber verpflichtet, von Amtes wegen für die richtige und vollständige Abklärung des rechtserheblichen Sachverhalts zu sorgen (Art. 12 VwVG). Die Asylsuchenden trifft dabei gemäss Art. 8 AsylG eine Mitwirkungspflicht, im Rahmen derer sie insbesondere ihre Identität offenzulegen und vorhandene Reise- oder Identitätspapiere abzugeben haben (vgl. hierzu auch BVGE 2011/28 E. 3.4).</w:t>
      </w:r>
    </w:p>
    <w:p>
      <w:r>
        <w:rPr>
          <w:b/>
        </w:rPr>
        <w:t>E. 4.2.2</w:t>
      </w:r>
    </w:p>
    <w:p>
      <w:r>
        <w:t>In casu liegen konkrete Anhaltspunkte dafür vor, dass das vor­instanzliche Verfahren den Anforderungen an eine vollständige Feststellung des rechtserheblichen Sachverhalts nicht zu genügen vermag. Die Beschwerdeführerin hat keine Identitätspapiere eingereicht, die verbindliche Rückschlüsse auf ihre Identität erlauben würden. Es liegen auch keine weiteren Dokumente vor, die zumindest Hinweise auf ihre wahre Identität geben könnten. Allein die Tatsache, dass die Beschwerdeführerin Tibetisch spricht und im Rahmen der Anhörung verschiedentlich chinesische Ausdrücke verwendete (bspw. für die Identitätskarte [A15 S. 4 F26] und das Familienbüchlein [A15 S. 4 F30], den Bus [A15 S. 6 F53], die Polizei [A15 S. 7 F70], einen Transportwagen [A15 S. 7 F71] oder den Dorfvorsteher [A15 S. 8 F74]), stellt keinen hinreichenden Beweis dafür dar, dass sie chinesische Staatsangehörige ist. Demgegenüber vermögen allfällige Zweifel an dem von der Beschwerdeführerin geltend gemachten fluchtauslösenden Ereignis vom 6. Juli 2012 die geltend gemachte Herkunft aus Tibet nicht eindeutig in Frage zu stellen. Die Identität der Beschwerdeführerin steht daher nicht fest. Auch wenn das SEM berechtigterweise auf gewisse Lücken im anlässlich der Anhörung vom 27. Mai 2014 erfragten Länderwissen der Beschwerdeführerin hinweist, sind ihre Aussagen zur behaupteten Herkunftsregion in Tibet keineswegs gänzlich unsubstanziiert geblieben. Die Beschwerdeführerin vermochte beispielsweise Angaben zur Grösse ihres Dorfes (zirka fünfzehn bis zwanzig Familien ansässig), umliegenden Ortschaften (H._______, I._______, J._______), Sakralbauten in ihrem Heimatdorf (Mönchskloster K._______) und der Umgebung (Klöster L._______, M._______, N._______; Tempel O._______), öffentlichen Transportmitteln nach Lhasa (Bus) und dem Preis einer solchen Busfahrt (zwanzig Währungseinheiten) oder der Münz- respektive Notenstückelung der Währung (einer, zweier, fünfer, zehner, zwanziger, fünfziger, hunderter) zu machen. Ob diese Angaben korrekt sind, vermag das Gericht nicht zu beurteilen. Allein aufgrund der Aussagen der Beschwerdeführerin im Rahmen der Befragung vom 14. November 2012 und der Anhörung vom 27. Mai 2014 kann nicht abschliessend beurteilt werden, ob die von ihr geltend gemachte Herkunft aus Tibet zutrifft, zumal das SEM mehrere Unglaubhaftigkeits­elemente, welches es der Beschwerdeführerin vorhielt, in seiner Vernehmlassung vom 27. März 2015 selbst relativierte (Einräumung eines Irrtums seitens des SEM bezüglich des Klosters im Dorf der Beschwerdeführerin, Relativierung der Vorhalte betreffend die Einhaltung der Schulpflicht in Tibet und die dortige Durchführung von Feierlichkeiten und Gedenktagen, Anerkennung der starken staatlichen Regulierung und Einschränkung der Berichterstattung über Ereignisse in Tibet). Darüber hinaus liegen auch zur sprachlichen Färbung des Tibetisch der Beschwerdeführerin keinerlei Angaben vor. Aufgrund der gegenwärtigen Aktenlage lässt sich nicht mit rechtsgenüglicher Sicherheit auf eine bewusste Verschleierung der Herkunft schliessen. Zur vollständigen Sachverhaltsfeststellung scheint vorliegend die Durchführung eines Alltagswissenstests und einer Lingua-Analyse durch einen ausgewiesenen Experten geboten, verbunden mit der anschliessenden Einräumung des rechtlichen Gehörs (Art. 29 Abs. 2 BV, Art. 29 f. und Art. 32 Abs. 1 VwVG; vgl. hierzu auch EMARK 2004 Nr. 28).</w:t>
      </w:r>
    </w:p>
    <w:p>
      <w:r>
        <w:rPr>
          <w:b/>
        </w:rPr>
        <w:t>E. 4.3</w:t>
      </w:r>
    </w:p>
    <w:p>
      <w:r>
        <w:t>Gemäss Art. 61 Abs. 1 VwVG entscheidet das Bundesverwaltungsgericht in der Sache selbst oder weist diese ausnahmsweise mit verbindlichen Weisungen an die Vorinstanz zurück. Eine Kassation und Rückweisung ist insbesondere dann angezeigt, wenn weitere Tatsachen festgestellt werden müssen und ein umfassendes Beweisverfahren durchzuführen ist. Vorliegend ist eine Rückweisung angezeigt, zumal es nicht Sinn und Zweck des Beschwerdeverfahrens vor dem Bundesverwaltungsgericht ist, den Sachverhalt rechtsgenüglich zu erstellen.</w:t>
      </w:r>
    </w:p>
    <w:p>
      <w:r>
        <w:rPr>
          <w:b/>
        </w:rPr>
        <w:t>E. 5</w:t>
      </w:r>
    </w:p>
    <w:p>
      <w:r>
        <w:t>Nach dem Gesagten ist die Beschwerde insofern gutzuheissen, soweit die Aufhebung der vorinstanzlichen Verfügung vom 4. Februar 2015 beantragt wird, und die Sache zur vollständigen Sachverhaltsfeststellung und Neubeurteilung an die Vorinstanz zurückzuweisen. Damit erübrigt es sich, auf die weiteren Beschwerdevorbringen näher einzugehen.</w:t>
      </w:r>
    </w:p>
    <w:p>
      <w:r>
        <w:rPr>
          <w:b/>
        </w:rPr>
        <w:t>E. 6.1</w:t>
      </w:r>
    </w:p>
    <w:p>
      <w:r>
        <w:t>Bei diesem Ausgang des Verfahrens sind keine Kosten zu erheben (Art. 63 Abs. 1 und 2 VwVG i.V.m. Art. 37 VGG).</w:t>
      </w:r>
    </w:p>
    <w:p>
      <w:r>
        <w:rPr>
          <w:b/>
        </w:rPr>
        <w:t>E. 6.2</w:t>
      </w:r>
    </w:p>
    <w:p>
      <w:r>
        <w:t>Aufgrund der Akten besteht kein Anlass zur Annahme, der nicht anwaltlich vertretenen Beschwerdeführerin wären durch die Beschwerdeführung notwendige Kosten im gesetzlichen Sinne erwachsen, weshalb ihr trotz Obsiegens keine Parteientschädigung zuzusprechen ist (Art. 64 Abs. 1 VwVG i.V.m. Art. 7 Abs. 1 und 4 sowie Art. 9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