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D-1455/2013 vom 23. Januar 2014</w:t>
      </w:r>
    </w:p>
    <w:p>
      <w:r>
        <w:t>Bundesverwaltungsgericht, 2014-01-23, DE</w:t>
      </w:r>
    </w:p>
    <w:p>
      <w:r>
        <w:rPr>
          <w:b/>
        </w:rPr>
        <w:t xml:space="preserve">Quelle: </w:t>
      </w:r>
      <w:r>
        <w:t>https://mcp.opencaselaw.ch/entscheid/bvger_D-1455_2013</w:t>
      </w:r>
    </w:p>
    <w:p>
      <w:r>
        <w:t>FR: TAF D-1455/2013 du 23 janvier 2014</w:t>
      </w:r>
    </w:p>
    <w:p>
      <w:r>
        <w:t>IT: TAF D-1455/2013 del 23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Entscheidungen und Mitteilungen der [vormaligen] Schweizerischen Asylrekurskommission [EMARK] 2004 Nr. 1 E. 5 S. 4 ff.).</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(vgl. BVGE 2008/4 E. 5.2 S. 37).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des Asylgesuchstellers zu berücksichtigen (vgl. BVGE 2008/34 E. 7.1 S. 507 f., BVGE 2008/12 E. 5.2 S. 154 f.; Walter Stöckli, Asyl, in: Uebersax/Rudin/Hugi Yar/Geiser [Hrsg.], Ausländerrecht, 2. Aufl., Basel/Bern/Lausanne 2009, Rz. 11.17 und 11.18).</w:t>
      </w:r>
    </w:p>
    <w:p>
      <w:r>
        <w:rPr>
          <w:b/>
        </w:rPr>
        <w:t>E. 3.4</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und aus einem der vom Gesetz aufgezählten Motive erfolgenden Benachteiligung als wahrscheinlich und dementsprechend die Furcht davor als realistisch und nachvollziehbar erscheinen lassen (vgl. BVGE 2010/57 E. 2.5 S. 827 f., BVGE 2010/44 E. 3.4 S. 620 f.).</w:t>
      </w:r>
    </w:p>
    <w:p>
      <w:r>
        <w:rPr>
          <w:b/>
        </w:rPr>
        <w:t>E. 4</w:t>
      </w:r>
    </w:p>
    <w:p>
      <w:r>
        <w:t>Das BFM erachtete die vom Beschwerdeführer geltend gemachten Ausreisegründe als den Anforderungen an die Flüchtlingseigenschaft gemäss Art. 3 AsylG nicht genügend. Dieser Einschätzung ist im Ergebnis beizupflichten. Zur Vermeidung von Wiederholungen kann vorab auf die nicht zu beanstandenden Ausführungen in der angefochtenen Verfügung verwiesen werden. Den Rechtsmitteleingaben sind keine stichhaltigen Entgegnungen zu entnehmen, die geeignet wären, eine Änderung der angefochtenen Verfügung bezüglich der Flüchtlingseigenschaft und des Asyls (und der Durchführbarkeit des Wegweisungsvollzugs) herbeizuführen.</w:t>
      </w:r>
    </w:p>
    <w:p>
      <w:r>
        <w:rPr>
          <w:b/>
        </w:rPr>
        <w:t>E. 4.1</w:t>
      </w:r>
    </w:p>
    <w:p>
      <w:r>
        <w:t>Der Beschwerdeführer machte geltend, er sei zwei Mal - im (...) und (...) 2012 - von den türkischen Behörden behelligt worden. Hinsichtlich der vorgebrachten polizeilichen Gewalt nach der Festnahme bei der Demonstration in B._______ vom (...) 2012 ist nochmals darauf hinzuweisen, dass für die Beurteilung der Flüchtlingseigenschaft nach Art. 3 AsylG die Situation im Zeitpunkt des Asylentscheids massgeblich ist, und die Gewährung des Asyls nicht dazu dienen kann, einen Ausgleich für vergangenes Unrecht zu schaffen, sondern vielmehr bezweckt, Schutz vor künftiger Verfolgung zu gewähren (vgl. BVGE 2008/4 Nr. 5.4). Der Beschwerdeführer wurde gemäss seinen Angaben am (...) 2012 ohne Auflagen und ohne, dass ein Straf- bzw. Gerichtsverfahren gegen ihn eingeleitet worden wäre, aus der Polizeihaft entlassen. Dies spricht gegen die Annahme einer weiterbestehenden Gefährdung des Beschwerdeführers nach der Haftentlassung. Eine begründete Furcht vor aktueller asylrelevanter Verfolgung vermochte er auch mit dem Hinweis auf eine landesweite Operation gegen kurdische Aktivisten vom (...) 2012, in deren Zusammenhang auch mehrere Wohnungen in seinem Wohnhaus in B._______ (vermutungsweise) durch die Polizei durchsucht worden seien, nicht darzulegen. Dies, zumal aus seiner Wohnung nichts entwendet worden sei, und gegen ihn in der Türkei kein Verfahren hängig sei (vgl. A5 S. 9). Im Übrigen brachte er auch nicht vor, andere Hausbewohner, deren Wohnungen ebenfalls durchsucht worden seien, wären anlässlich dieser Razzia verhaftet worden. Weder die erlittene Polizeihaft noch die geschilderte Wohnungsdurchsuchung vermögen daher eine im heutigen Zeitpunkt begründete Furcht des Beschwerdeführers vor einer asylrechtlich relevanten Verfolgung durch die türkischen Behörden darzulegen.</w:t>
      </w:r>
    </w:p>
    <w:p>
      <w:r>
        <w:rPr>
          <w:b/>
        </w:rPr>
        <w:t>E. 4.2</w:t>
      </w:r>
    </w:p>
    <w:p>
      <w:r>
        <w:t>Hinsichtlich der vom Beschwerdeführer geltend gemachten Angst vor einer Reflexverfolgung aufgrund seines familiären Umfelds ist festzustellen, dass Sippenhaft im juristisch technischen Sinn als gesetzlich erlaubte Haftbarmachung einer ganzen Familie für Vergehen einzelner ihrer Angehörigen in der Türkei grundsätzlich nicht existiert. Indessen werden staatliche Repressalien gegen Familienangehörige von politischen Aktivisten - vornehmlich verbotener linker Gruppierungen - vor allem in den Süd- und Ostprovinzen der Türkei regelmässig angewendet, was als "Reflexverfolgung" flüchtlingsrechtlich im Sinne von Art. 3 AsylG relevant sein kann. Auch in der näheren Zeit kann die Gefahr allfälliger Repressalien gegen Familienangehörige mutmasslicher Aktivisten der PKK ("Partiya Karkerên Kurdistan"), einer ihrer Nachfolgeorganisationen oder anderer von den türkischen Behörden als separatistisch eingestufter kurdischer Gruppierungen grundsätzlich nicht ausgeschlossen werden.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EMARK 2005 Nr. 21).</w:t>
      </w:r>
    </w:p>
    <w:p>
      <w:r>
        <w:rPr>
          <w:b/>
        </w:rPr>
        <w:t>E. 4.2.1</w:t>
      </w:r>
    </w:p>
    <w:p>
      <w:r>
        <w:t>Der Vater des Beschwerdeführers war (...). Ein (Verwandter) väterlicherseits wurde zu einer langjährigen Haftstrafe verurteilt, (...). Einem weiteren (Verwandten) väterlicherseits wurde in E._______ Asyl gewährt. Der Vater des Beschwerdeführers suchte am (...) 2005 in der Schweiz um Asyl nach, und das Bundesverwaltungsgericht wies das BFM mit Urteil vom (...) 2010 an, ihm hierzulande Asyl zu gewähren (Verfahren [...]). Am 16. August 2010 stellte der Vater des Beschwerdeführers beim BFM ein Gesuch um Einbezug seines Sohnes (des Beschwerdeführers) in seine Flüchtlingseigenschaft und das Asyl. Diesem Ersuchen gab das BFM nicht statt. Es verweigerte dem volljährigen Beschwerdeführer - im Gegensatz zu dessen Mutter und den minderjährigen (Geschwistern) - mit in Rechtskraft erwachsener Verfügung vom 30. August 2010 die Einreise in die Schweiz und lehnte dessen sinngemässes Asylgesuch aus dem Ausland ab.</w:t>
      </w:r>
    </w:p>
    <w:p>
      <w:r>
        <w:rPr>
          <w:b/>
        </w:rPr>
        <w:t>E. 4.2.2</w:t>
      </w:r>
    </w:p>
    <w:p>
      <w:r>
        <w:t>Der Beschwerdeführer stammt zwar unbestrittenermassen aus einer politisch aktiven Familie, aber den Akten lassen sich keine konkreten Hinweise dafür entnehmen, dass er deswegen erhebliche Nachteile asylrechtlicher Natur erlitten hätte, oder solche mit beachtlicher Wahrscheinlichkeit in absehbarer Zukunft befürchten müsste. Der Beschwerdeführer machte nicht geltend, dass es auf ihn nach der Ausreise seines Vaters im Jahr 2005 oder den Jahren danach von Seiten der türkischen Sicherheitskräfte zu Übergriffen gekommen wäre, um von ihm den Aufenthalt des Vaters zu erfahren. Auch anderweitige Behelligungen oder Repressalien wegen der Aktivitäten und der Flucht des Vaters aus der Türkei brachte er nicht vor. Nach der Ausreise des Vaters hat somit keine Reflexverfolgung gegen den Beschwerdeführer in der Türkei eingesetzt, und es ist nicht anzunehmen, dass sich mit der Rückkehr des Beschwerdeführers in sein Heimatland daran etwas ändern würde. Bis zur polizeilichen Festnahme anlässlich seiner Teilnahme an der Demonstration vom (...) 2012 machte er keine eigenen Probleme mit den Behörden geltend. Er habe seit zirka Ende 2011/Anfang 2012 der Jugendsektion der legalen BDP angehört. Er habe bei Gemeinschaftsarbeiten und Kulturveranstaltungen mitgemacht sowie an Kundgebungen teilgenommen. Eine Führungsposition habe er dabei nicht innegehabt. Damit weist der Beschwerdeführer kein eigenes, ihn speziell exponierendes politisches Profil auf. Ein Verfahren sei gegen ihn in der Türkei nicht hängig (vgl. A5 S. 9). Den Akten lassen sich denn auch keine konkreten Anhaltspunkte dafür entnehmen, dass der Beschwerdeführer im heutigen Zeitpunkt von den türkischen Behörden aufgrund eigener politischer Aktivitäten oder wegen seines familiären Umfelds gesucht und von Verfolgungsmassnahmen asylrelevanten Ausmasses gemäss Art. 3 AsylG bedroht würde. Das BFM hat diese Vorbringen des Beschwerdeführers daher zu Recht wegen fehlender begründeter Furcht vor asylrechtlich relevanter Verfolgung als den Anforderungen an die Flüchtlingseigenschaft gemäss Art. 3 AsylG nicht genügend erachtet.</w:t>
      </w:r>
    </w:p>
    <w:p>
      <w:r>
        <w:rPr>
          <w:b/>
        </w:rPr>
        <w:t>E. 4.3</w:t>
      </w:r>
    </w:p>
    <w:p>
      <w:r>
        <w:t>Schliesslich vermag auch die vom Beschwerdeführer geäusserte Furcht vor der Einberufung in den Militärdienst die Flüchtlingseigenschaft nicht zu begründen. Die Rekrutierung und eine allfällige Strafe wegen Refraktion oder Desertion würde gemäss konstanter Rechtsprechung grundsätzlich keine Verfolgung im Sinne von Art. 3 AsylG darstellen. Es gehört zu den legitimen Rechten eines Staates, seine Bürger zum Militärdienst einzuberufen und zur Durchsetzung der Wehrpflicht gegebenenfalls strafrechtliche oder disziplinarische Sanktionen zu verhängen (vgl. EMARK 2004 Nr. 2 E. 6b.aa S. 16). Als flüchtlingsrechtlich relevant gilt eine Bestrafung dann, wenn der Wehrpflichtige, der sich weigert, dem Aufgebot Folge zu leisten, aus einem Grund nach Art. 3 AsylG mit einer höheren Strafe zu rechnen hat (sog. Politmalus), oder wenn die Einberufung zum Wehrdienst dazu abzielt, den Wehrpflichtigen in völkerrechtlich verpönte Handlungen zu verstricken. Wehrpflichtige Männer werden in der Türkei aufgrund der Staatsangehörigkeit und ihres Jahrgangs für das Militär aufgeboten, ohne dass dieser Verpflichtung eine asylrechtlich relevante Verfolgungsabsicht des Staates zugrunde liegen würde. Eine Einberufung des Beschwerdeführers respektive eine allfällige Bestrafung wegen Nichtbefolgens eines Aufgebots wäre mithin als asylrechtlich nicht relevant zu qualifizieren, zumal kurdische Refraktäre ihrer Ethnie wegen nicht generell strengere Strafen im Sinne eines "Malus" zu befürchten haben. Es liegt somit auch in dieser Hinsicht keine objektiv begründete Furcht vor asylrechtlich relevanter Verfolgung vor.</w:t>
      </w:r>
    </w:p>
    <w:p>
      <w:r>
        <w:rPr>
          <w:b/>
        </w:rPr>
        <w:t>E. 4.4</w:t>
      </w:r>
    </w:p>
    <w:p>
      <w:r>
        <w:t>Der Beschwerdeführer erfüllt damit die Flüchtlingseigenschaft gemäss Art. 3 AsylG nicht. Das Bundesamt hat das Asylgesuch zu Recht abgelehnt.</w:t>
      </w:r>
    </w:p>
    <w:p>
      <w:r>
        <w:rPr>
          <w:b/>
        </w:rPr>
        <w:t>E. 5</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2009/50 E. 9 S. 733, BVGE 2008/34 E. 9.2 S. 510).</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6.1</w:t>
      </w:r>
    </w:p>
    <w:p>
      <w:r>
        <w:t>Der Vollzug ist nicht zulässig, wenn völkerrechtliche Verpflichtungen der Schweiz einer Weiterreise des Ausländers oder der Ausländerin in den Heimat-, Herkunfts- oder in einen Drittstaat entgegenstehen (Art. 83 Abs. 3 AuG).</w:t>
      </w:r>
    </w:p>
    <w:p>
      <w:r>
        <w:rPr>
          <w:b/>
        </w:rPr>
        <w:t>E. 6.1.1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nicht zur Anwendung gelangen. Der Vollzug der Wegweisung ist demnach unter dem Aspekt von Art. 5 AsylG rechtmässig.</w:t>
      </w:r>
    </w:p>
    <w:p>
      <w:r>
        <w:rPr>
          <w:b/>
        </w:rPr>
        <w:t>E. 6.1.2</w:t>
      </w:r>
    </w:p>
    <w:p>
      <w:r>
        <w:t>Gemäss Art. 25 Abs.3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zumindest glaubhaft machen, dass ihm im Falle einer Rückschiebung Folter oder unmenschliche Behandlung drohen würde (vgl. EGMR [Grosse Kammer], Saadi gegen Italien, Urteil vom 28. Februar 2008, Beschwerde Nr. 37201/06, §§ 124 - 127, mit weiteren Hinweisen). Dies ist vorliegend nicht der Fall. Auch die allgemeine Menschenrechtssituation in der Türkei lässt den Wegweisungsvollzug nicht als unzulässig erscheinen. An dieser Einschätzung vermögen auch die diesbezüglichen Einwände des Beschwerdeführers in den Beschwerdeeingaben und der dort zitierte Artikel aus der Zeitschrift "Der Spiegel" über in der Türkei inhaftierte Regierungskritiker nichts zu ändern, weshalb es sich erübrigt, weiter darauf einzugehen.</w:t>
      </w:r>
    </w:p>
    <w:p>
      <w:r>
        <w:rPr>
          <w:b/>
        </w:rPr>
        <w:t>E. 6.2</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6.2.1</w:t>
      </w:r>
    </w:p>
    <w:p>
      <w:r>
        <w:t>Die Lage für die kurdische Minderheit in der Türkei ist zwar angespannt. Abgesehen von den Provinzen Hakkari und Sirnak (vgl. BVGE 2013/2 E. 9 S. 11 ff.) ist jedoch nicht von einer Situation allgemeiner Gewalt auszugehen, die einen Wegweisungsvollzug für Asylsuchende kurdischer Ethnie generell als unzumutbar erscheinen liesse. So hat Abdullah Öcalan am 21. März 2013 in einem Appell dazu ausgerufen, nunmehr der Politik den Vorrang zu geben und die Waffen schweigen zu lassen. Diese Forderung zum Waffenstillstand ist ein Schritt, der das Ende des jahrzehntelangen Konflikts zwischen der PKK und der türkischen Regierung einleiten sowie eine merkliche Entspannung bewirken könnte. Allein aufgrund der allgemeinen Situation in seinem Heimatstaat kann daher nicht von einer konkreten Gefährdung des in B._______ wohnhaft gewesenen und sich zuletzt in D._______ aufhaltenden Beschwerdeführers ausgegangen werden.</w:t>
      </w:r>
    </w:p>
    <w:p>
      <w:r>
        <w:rPr>
          <w:b/>
        </w:rPr>
        <w:t>E. 6.2.2</w:t>
      </w:r>
    </w:p>
    <w:p>
      <w:r>
        <w:t>In den Akten finden sich auch keine konkreten Anhaltspunkte dafür, dass der Beschwerdeführer aus individuellen Gründen wirtschaftlicher, sozialer oder gesundheitlicher Natur in eine existenzbedrohende Situation geraten würde. Der junge und ledige Beschwerdeführer verfügt in seinem Heimatland über ein tragfähiges verwandtschaftliches und soziales Beziehungsnetz (vgl. A5 S. 5), auf dessen Unterstützung er in der Vergangenheit zählen konnte (bspw. Unterstützung bei der Ausreiseorganisation durch einen [Verwandten]; finanzielle Unterstützung durch einen [Verwandten] [vgl. A5 S. 9]). Er hat das Gymnasium absolviert und weist damit eine sehr gute Schulbildung auf. Vor seiner Ausreise aus der Türkei hat er in (...) gearbeitet (vgl. A5 S. 4). Damit darf davon ausgegangen werden, dass er bei einer Rückkehr - wie bis anhin - in der Lage sein wird, seinen Lebensunterhalt zu bestreiten, gegebenenfalls mit der anfänglichen Unterstützung seiner im In- und Ausland lebenden Verwandten. Im auf Beschwerdeebene eingereichten ärztlichen Bericht vom 12. April 2013 wurde ihm ein guter körperlicher Zustand mit einer geheilten Wunde am Becken attestiert, wobei ihm die behandelnde Ärztin aufgrund der von ihm geschilderten Angst vor Polizisten nach der erlittenen Polizeihaft im Jahr 2012 empfahl, einen Psychiater aufzusuchen. Diesbezüglich ist festzustellen, dass nur dann auf Unzumutbarkeit des Wegweisungsvollzugs geschlossen werden kann, wenn eine notwendige medizinische Behandlung im Heimatland schlicht nicht zur Verfügung steht und die Rückkehr zu einer raschen und lebensgefährdenden Beeinträchtigung des Gesundheitszustands der betroffenen Person führt. Unzumutbarkeit liegt jedenfalls noch nicht vor, wenn im Heimatstaat eine nicht dem schweizerischen Standard entsprechende medizinische Behandlung möglich ist (vgl. BVGE 2009/2, EMARK 2003 Nr. 24 E. 5a und b). Vorliegend ist nicht auf eine medizinische Notlage zu schliessen, die in der Türkei schlicht nicht behandelbar wäre. Der ärztlichen Empfehlung vom 12. April 2013, einen Psychiater aufzusuchen, kann der Beschwerdeführer auch in der Türkei nachkommen. Institutionen zur Diagnostizierung und Behandlung psychischer Erkrankungen stehen auch dort zur Verfügung. Insgesamt ist somit nicht davon auszugehen, der Beschwerdeführer würde bei einer Rückkehr in sein Heimatland in eine seine Existenz vernichtende Situation geraten, die als konkrete Gefährdung im Sinne der zu beachtenden Bestimmungen zu werten wäre (Art. 83 Abs. 4 AuG).</w:t>
      </w:r>
    </w:p>
    <w:p>
      <w:r>
        <w:rPr>
          <w:b/>
        </w:rPr>
        <w:t>E. 6.2.3</w:t>
      </w:r>
    </w:p>
    <w:p>
      <w:r>
        <w:t>Der Vollzug der Wegweisung erweist sich daher sowohl vor dem Hintergrund der allgemeinen Lage in der Türkei als auch in individueller Hinsicht als zumutbar.</w:t>
      </w:r>
    </w:p>
    <w:p>
      <w:r>
        <w:rPr>
          <w:b/>
        </w:rPr>
        <w:t>E. 6.3</w:t>
      </w:r>
    </w:p>
    <w:p>
      <w:r>
        <w:t>Der Wegweisungsvollzug ist schliesslich auch als möglich zu bezeichnen, da keine Vollzugshindernisse bestehen (Art. 83 Abs. 2 AuG), und es dem Beschwerdeführer obliegt, bei der allenfalls notwendigen Beschaffung von Reisedokumenten mitzuwirken (Art. 8 Abs. 4 AsylG; vgl. dazu auch BVGE 2008/34 E. 12 S. 513-515).</w:t>
      </w:r>
    </w:p>
    <w:p>
      <w:r>
        <w:rPr>
          <w:b/>
        </w:rPr>
        <w:t>E. 6.4</w:t>
      </w:r>
    </w:p>
    <w:p>
      <w:r>
        <w:t>Der durch die Vorinstanz verfügte Wegweisungsvollzug ist damit zu bestätigen und die Anordnung der vorläufigen Aufnahme des Beschwerdeführers fällt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somit abzuweisen.</w:t>
      </w:r>
    </w:p>
    <w:p>
      <w:r>
        <w:rPr>
          <w:b/>
        </w:rPr>
        <w:t>E. 8</w:t>
      </w:r>
    </w:p>
    <w:p>
      <w:r>
        <w:t>Bei diesem Ausgang des Verfahrens wären dessen Kosten grundsätzlich dem Beschwerdeführer aufzuerlegen (Art. 63 Abs. 1 VwVG). Da indes das Gesuch des Beschwerdeführers um Verzicht auf die Erhebung eines Kostenvorschusses und damit auch das sinngemässe Gesuch um Gewährung der unentgeltlichen Prozessführung gemäss Art. 65 Abs. 1 VwVG mit Zwischenverfügung vom 25. März 2013 gutgeheissen wurden, und weiterhin von der prozessualen Bedürftigkeit des Beschwerdeführers auszugehen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