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D-1441/2013 vom 3. April 2013</w:t>
      </w:r>
    </w:p>
    <w:p>
      <w:r>
        <w:t>Bundesverwaltungsgericht, 2013-04-03, DE</w:t>
      </w:r>
    </w:p>
    <w:p>
      <w:r>
        <w:rPr>
          <w:b/>
        </w:rPr>
        <w:t xml:space="preserve">Quelle: </w:t>
      </w:r>
      <w:r>
        <w:t>https://mcp.opencaselaw.ch/entscheid/bvger_D-1441_2013</w:t>
      </w:r>
    </w:p>
    <w:p>
      <w:r>
        <w:t>FR: TAF D-1441/2013 du 3 avril 2013</w:t>
      </w:r>
    </w:p>
    <w:p>
      <w:r>
        <w:t>IT: TAF D-1441/2013 del 3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massgeblichen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weshalb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Der Beschwerdeführer wurde nicht zu seinem Asylgesuch be­fragt. Er hat seine Vorbringen jedoch bereits im Asylgesuch vom 21. Juli 2009 schriftlich dargelegt (vgl. Sachverhalt Bst. A). Zudem wurde ihm in der Folge mit Zwischenverfügung des BFM vom 22. Juli 2009 ein Katalog von für die vollständige Erstellung des rechtserheb­lichen Sachverhalts noch zu beantwortenden offenen Fragen zuge­stellt, wozu er am 22. August 2009 schriftlich Stellung genommen hat (vgl. Sachverhalt Bst. B und C). Zudem liess er der Schweizer Botschaft in der Folge weitere Unterlagen zukommen (vgl. Sachverhalt Bst. D). Der entscheidwesentliche Sachverhalt erscheint angesichts der schriftlichen Darlegung der Asylgründe soweit erstellt, dass die entscheidrelevanten Elemente vorliegen.</w:t>
      </w:r>
    </w:p>
    <w:p>
      <w:r>
        <w:rPr>
          <w:b/>
        </w:rPr>
        <w:t>E. 5.2.2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5.4</w:t>
      </w:r>
    </w:p>
    <w:p>
      <w:r>
        <w:t>Das BFM führte zur Begründung seiner Verfügung im Wesentlichen aus, massgebend für die Erteilung einer Einreisebewilligung sei die Gefährdungssituation der asylsuchenden Person zum Zeitpunkt des Entscheids. Mithin sei vergangene Verfolgung nur massgebend, wenn sie noch andaure oder konkrete Anzeichen für künftige Verfolgung be­stehen würden. Eine Einreisebewilligung würde nicht als Entschädi­gung für erlittene Unbill erteilt, sondern nur Personen, die aktuell auf Schutz angewiesen seien. Zudem müssten die Verfolgungsmassnah­men eine Gefahr für das Leben oder die körperliche oder psychische Integrität darstellen und eine Intensität aufweisen, welche ein men­schenwürdiges Leben im Verfolgerstaat verunmöglichen oder in unzu­mutbarer Weise erschweren würde. Obwohl der Beschwerdeführer aufgefordert worden sei, sich näher zu den geltend gemachten Ereignissen im April 2009 zu äussern, habe er diesbezüglich keinerlei Erklärungen abgegeben. Seine kurzfristige Haft stelle ein Einzel­ereignis dar. Zudem habe er mit dem Entweichen aus dem Spital von D._______ der Justiz verunmöglicht, seinen Fall zu behandeln. Deshalb vermöchten diese Tatsachen, so schwer sie auch wiegten, eine Bewilligung zur Einreise in die Schweiz nicht zu rechtfertigen. Im Übrigen habe er sich seit dem Jahr 2009 nicht mehr vernehmen lassen. Unter diesen Umständen erscheine seine Furcht, von den Sicherheitskräften wegen des Verdachts, Mitglied der LTTE zu sein, getötet zu werden, nicht begründet, umso weniger als der bewaffnete Konflikt zwischen der sri-lankischen Regierung und den separatis­tischen LTTE mit der Niederlage der Letzteren im Mai 2009 beendet worden sei. Seither befinde sich das ganze Land wieder unter der Kontrolle der Regierung und habe sich die allgemeine Lage deutlich gebessert. Schliesslich habe er erklärt, sich bei der Verwandtschaft in B._______ aufzuhalten und dort keine Probleme mehr gehabt zu haben. Demnach sei seiner Furcht jede Grundlage entzogen. Er habe nichts vorgebracht, das darauf schliessen liesse, dass er aktuell erheblichen Nachteilen ausgesetzt wäre oder in naher Zukunft ernsthafte staatliche oder private Verfolgung zu gewärtigen hätte. Daran vermöchten auch die zu den Akten gereichten Dokumente nichts zu ändern, zumal sie lediglich seine Vorbringen stützten, deren Glaubhaftigkeit nicht in Frage gestellt werde.</w:t>
      </w:r>
    </w:p>
    <w:p>
      <w:r>
        <w:rPr>
          <w:b/>
        </w:rPr>
        <w:t>E. 5.5</w:t>
      </w:r>
    </w:p>
    <w:p>
      <w:r>
        <w:t>Die Beschwerde beschränkt sich auf eine wortwörtliche Wieder­holung der bisherigen Vorbringen im Asylgesuch vom 21. Juli 2009. Zusätzlich merkt der Beschwerdeführer an, er sei von B._______ nach E._______ verbracht worden, weshalb er die angefochtene Verfügung erst am 20. Februar 2013 erhalten und sich seine Antwort verzögert habe, wofür er sich entschuldige. Die gleichzeitig in Kopie eingereichten Dokumente wurden, mit Ausnahme des am 27. August 2009 ausgestellten Reisepasses, bereits im erstinstanzlichen Ver­fahren zu den Akten gereicht.</w:t>
      </w:r>
    </w:p>
    <w:p>
      <w:r>
        <w:rPr>
          <w:b/>
        </w:rPr>
        <w:t>E. 5.6</w:t>
      </w:r>
    </w:p>
    <w:p>
      <w:r>
        <w:t>Eine Überprüfung der Akten ergibt, dass sich die Erwägungen in der angefochtenen Verfügung als zutreffend erweisen. Mithin wurden die Vorbringen des Beschwerdeführers vom BFM zu Recht als den Anforderungen an eine Verfolgung im Sinne von Art. 3 AsylG nicht genügend qualifiziert; diesbezüglich kann vorweg auf E. 5.4 vorstehend verwiesen werden, wobei die zusätzlichen Ausführungen in der Beschwerde daran nichts zu ändern vermögen: So geht das Bundesverwaltungsgericht zum einen mit der Vorinstanz darin einig, dass die Asylgewährung nicht dem Ausgleich für vergangene Unbill dient, weshalb die im erstinstanzlichen Verfahren geltend gemachte Vorverfolgung als asylrechtlich nicht relevant einzustufen ist; zum andern hat sich die Situation in Sri Lanka seit der Beendigung des bewaffneten Konflikts zwischen der sri-lankischen Regierung und den LTTE im Mai 2009 grundlegend geändert, weshalb in casu eine begründete Furcht vor zukünftiger Verfolgung im Sinne von Art. 3 AsylG zu verneinen ist. Daran vermögen schliesslich die zusammen mit der Beschwerde erneut eingereichten Dokumente nichts zu ändern, zumal sie lediglich die Vorbringen des Beschwerdeführers stützen, deren Glaubhaftigkeit indes nie in Frage gestellt wurde beziehungsweise wird.</w:t>
      </w:r>
    </w:p>
    <w:p>
      <w:r>
        <w:rPr>
          <w:b/>
        </w:rPr>
        <w:t>E. 5.7</w:t>
      </w:r>
    </w:p>
    <w:p>
      <w:r>
        <w:t>Zusammenfassend ist festzustellen, dass es dem Beschwerde­führer nicht gelungen ist, eine aktuelle Verfolgung im Sinne von Art. 3 AsylG darzulegen. Es erübrigt sich, auf die weiteren Vorbringen in der Beschwerde und den Inhalt der Beweismittel einzugehen, da diese keine neuen Begründungselemente enthalten, welche geeignet wären, die Einschätzung des BFM entscheidend zu relativieren. Das BFM hat demnach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