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D-1433/2010 vom 18. März 2010</w:t>
      </w:r>
    </w:p>
    <w:p>
      <w:r>
        <w:t>Bundesverwaltungsgericht, 2010-03-18, DE</w:t>
      </w:r>
    </w:p>
    <w:p>
      <w:r>
        <w:rPr>
          <w:b/>
        </w:rPr>
        <w:t xml:space="preserve">Quelle: </w:t>
      </w:r>
      <w:r>
        <w:t>https://mcp.opencaselaw.ch/entscheid/bvger_D-1433_2010</w:t>
      </w:r>
    </w:p>
    <w:p>
      <w:r>
        <w:t>FR: TAF D-1433/2010 du 18 mars 2010</w:t>
      </w:r>
    </w:p>
    <w:p>
      <w:r>
        <w:t>IT: TAF D-1433/2010 del 18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wurde am 2. März 2010 in Sri Lanka versandt. Wann sie der schweizerischen Post übergeben wurde (vgl. Art 21 Abs. 1 VwVG), ist nicht eruierbar. Zu Gunsten des Beschwerdeführers wird davon ausgegangen, er habe sie rechtzeitig der Post übergeben. Die Beschwerde ist somit frist- und formgerecht eingereicht. Der Beschwerdeführer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Der Beschwerdeführer stellt in seiner Rechtsmitteleingabe vom 1. März 2010 erstmals nicht nur für sich selber, sondern auch für seine übrigen Familienangehörigen (Ehefrau und Kinder) ein Einreisegesuch. Diesbezüglich ist festzuhalten, dass der Beschwerdeführer im bisherigen Verlauf des Verfahrens stets nur für seine Person ein Asylgesuch sowie ein Gesuch um Einreisebewilligung gestellt hat. Der angefochtene Entscheid bezieht sich denn auch lediglich auf den Beschwerdeführer (vgl. BFM-Entscheid vom 22. Januar 2010, S. 4 unten). Es ist daher zwar im Beschwerdeentscheid lediglich das Einreise- und Asylgesuch des Beschwerdeführers zu beurteilen, jedoch besitzen die nachfolgenden Ausführungen auch Gültigkeit für die übrigen Familienangehörigen des Beschwerdeführers in Sri Lanka.</w:t>
      </w:r>
    </w:p>
    <w:p>
      <w:r>
        <w:rPr>
          <w:b/>
        </w:rPr>
        <w:t>E. 1.5</w:t>
      </w:r>
    </w:p>
    <w:p>
      <w:r>
        <w:t>Die Abteilungen des Bundesverwaltungsgerichts entscheiden in der Regel in der Besetzung mit drei Richter oder Richterinnen (Spruchkörper; vgl. Art. 21 Abs. 1 VGG). Das Bundesverwaltungsgericht kann auch in solchen Fällen auf die Durchführung des Schriftenwechsels verzichten (Art. 111a Abs. 1 AsylG).</w:t>
      </w:r>
    </w:p>
    <w:p>
      <w:r>
        <w:rPr>
          <w:b/>
        </w:rPr>
        <w:t>E. 2</w:t>
      </w:r>
    </w:p>
    <w:p>
      <w:r>
        <w:t>Das BFM hat in Nachachtung des Urteils des Bundesverwaltungsgerichts D-2804/2008 vom 10. November 2009 dem Beschwerdeführer in korrekter Weise das rechtliche Gehör gewährt und dessen Stellungnahme danach im angefochtenen Entscheid vom 22. Januar 2010 entsprechend gewürdigt.</w:t>
      </w:r>
    </w:p>
    <w:p>
      <w:r>
        <w:rPr>
          <w:b/>
        </w:rPr>
        <w:t>E. 3.1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3.2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dazu beispielsweise Urteil des Bundesverwaltungsgerichts D-2490/2009 vom 16. Juni 2009, mit weiteren Hinweisen).</w:t>
      </w:r>
    </w:p>
    <w:p>
      <w:r>
        <w:rPr>
          <w:b/>
        </w:rPr>
        <w:t>E. 3.3</w:t>
      </w:r>
    </w:p>
    <w:p>
      <w:r>
        <w:t>Die sachverhaltsmässigen Grundlagen werden in ihren wesentlichen Punkten weder vom Bundesamt noch vom Bundesverwaltungsgericht in Frage gestellt. Zur Prüfung steht vorliegend, ob die vorinstanzlichen Erwägungen zur fehlenden Einreisebeachtlichkeit der vorgebrachten Benachteiligungen zutreffend sind. Die betreffenden Erkenntnisse des Bundesamtes sind in casu nach Prüfung der Akten zu bestätigen. Der Beschwerdeführer weist auf seine schwierige persönliche Situation in Sri Lanka, einen starken Druck seitens der E._______ und damit einhergehend auf physische und psychische Belästigungen - auch seitens anderer Gruppierungen - hin. Abgesehen vom Umstand, dass der Beschwerdeführer in seinen diversen Eingaben keine konkreten Details zum angeführten Druck und den erwähnten Belästigungen anzugeben vermag, bleibt festzuhalten, dass die von ihm geschilderten diesbezüglichen Schwierigkeiten - bei allem Verständnis für seine schwierige Situation - keine Gefährdung im Sinne von Art. 3 AsylG darstellen. So vermögen die angeführten Ereignisse zum heutigen Zeitpunkt zu keiner objektiv begründeten Furcht vor zukünftiger Verfolgung im Sinne der zu beachtenden Bestimmungen zu führen. Auch vermag der Beschwerdeführer aus den angeführten Belästigungen und Druckversuchen seitens verschiedener Gruppierungen keinen einreiserelevanten Sachverhalt für sich abzuleiten. So hat er in diesem Zusammenhang keine Verfolgung von staatlicher Seite angeführt; vielmehr sei er von Angehörigen der E._______ sowie anderer Gruppierungen unter Druck gesetzt respektive belästigt worden. Eine Verfolgung durch Dritte ist nach der Schutztheorie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Urteil des Bundesverwaltungsgerichts D-2838/2007 vom 15. Mai 2009; Entscheidungen und Mitteilungen der Schweizerischen Asylrekurskommission [EMARK] 2006 Nr. 18 E. 10.3.2. S. 204; EMARK 1996 Nr. 28 S. 271 f.). Für den Beschwerdeführer ist nach diesen Massstäben hinreichender Schutz durch die heimatlichen Behörden gewährleistet. Nach den Erkenntnissen des Bundesverwaltungsgerichtes funktioniert der srilankische Polizei- und Justizapparat grundsätzlich und ist darauf bedacht, seine Unabhängigkeit zu wahren. Polizeiliche Aufgaben werden wahrgenommen und eine effektive Strafverfolgung wird ermöglicht. Somit sprechen vorliegend keine Gründe dafür, dass in Sri Lanka keine wirksame und funktionierende Infrastruktur zur Schutzgewährung zur Verfügung steht. Zudem ergeben sich aus den Akten keine Hinweise, dass die staatliche Schutzinfrastruktur dem Beschwerdeführer nicht zugänglich wäre und die srilankischen Behörden offensichtlich nicht willens wären, ihm Schutz vor allfälligen Übergriffen der angeführten Drittpersonen zu gewähren und zu diesem Zweck konkrete und geeignete Massnahmen zu treffen. Es ist demnach davon auszugehen, dass der Beschwerdeführer objektiv Zugang zu den Strafverfolgungsbehörden hat. Den Akten zufolge hat sich der Beschwerdeführer wegen des auf ihn ausgeübten Drucks sowie der Belästigungen bislang nicht an die srilankische Polizei respektive an die zuständigen Gerichtsbehörden gewendet; es steht ihm jedoch aufgrund obiger Ausführungen offen und ist ihm zuzumuten, sich im Bedarfsfall bei den srilankischen Behörden um Schutz zu bemühen. Unter diesen Umständen vermögen die geltend gemachten Ereignisse praxisgemäss nicht zur Anerkennung der Flüchtlingseigenschaft und zur Gewährung des Asyls zu führen.</w:t>
      </w:r>
    </w:p>
    <w:p>
      <w:r>
        <w:rPr>
          <w:b/>
        </w:rPr>
        <w:t>E. 3.4</w:t>
      </w:r>
    </w:p>
    <w:p>
      <w:r>
        <w:t>Bei dieser Sachlage und in Würdigung der gesamten Umstände und Vorbringen des Beschwerdeführers ist zusammenfassend festzustellen, dass dieser die Voraussetzungen für die Bewilligung der Einreise nicht erfüllt. Es erübrigt sich angesichts der oben stehenden Ausführungen, auf die weiteren Vorbringen in der Beschwerde im Einzelnen weiter einzugehen, da sie am Ergebnis nichts zu ändern vermögen. Die Vorinstanz hat daher die Einreise des Beschwerdeführers zu Recht verweigert und das Asylgesuch abgewiesen.</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dessen Kosten grundsätzlich dem Beschwerdeführer aufzuerlegen (Art. 63 Abs. 1 und 5 VwVG). In Anwendung von Art. 6 Abs. 1 des Reglements vom 21. Februar 2008 über die Kosten und Entschädigungen vor dem Bundesverwaltungsgericht [VGKE, SR 173.320.2]) ist jedoch aus verwaltungsökonomischen Gründen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