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D-141/2015 vom 7. April 2015</w:t>
      </w:r>
    </w:p>
    <w:p>
      <w:r>
        <w:t>Bundesverwaltungsgericht, 2015-04-07, DE</w:t>
      </w:r>
    </w:p>
    <w:p>
      <w:r>
        <w:rPr>
          <w:b/>
        </w:rPr>
        <w:t xml:space="preserve">Quelle: </w:t>
      </w:r>
      <w:r>
        <w:t>https://mcp.opencaselaw.ch/entscheid/bvger_D-141_2015</w:t>
      </w:r>
    </w:p>
    <w:p>
      <w:r>
        <w:t>FR: TAF D-141/2015 du 7 avril 2015</w:t>
      </w:r>
    </w:p>
    <w:p>
      <w:r>
        <w:t>IT: TAF D-141/2015 del 7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4.4</w:t>
      </w:r>
    </w:p>
    <w:p>
      <w:r>
        <w:t>Die soeben aufgeführten Kriterien der Glaubhaftmachung sind mit Blick auf die Asylvorbringen des Beschwerdeführers nicht als erfüllt zu erachten. Dabei ist zunächst in Übereinstimmung mit der Vorinstanz festzustellen, dass die Schilderungen des Beschwerdeführers im Rahmen seiner Anhörungen zu den angeblichen Drohungen aufgrund der fehlenden Substanz, der stereotypen Erzählungen und der allgemein gehaltenen, ausweichenden sowie ausschweifenden Aussagen als unglaubhaft zu erachten sind. Der Beschwerdeführer ist wiederholt gefragt worden, was ihm denn genau angedroht worden sei, woraufhin er jeweils entweder begonnen hat, von allgemeinen Missständen in seinem Heimatstaat zu berichten (vgl. Akten der Vorinstanz A20/21 F. 93 f. und F. 112), von seiner Journalistenarbeit zu erzählen (vgl. A20/21 F. 93), oder mehrfach zu Protokoll gegeben hat, man habe von ihm verlangt, mit der Ausübung seines Berufes aufzuhören (vgl. A20/21, F. 113 und F. 124). Dies gilt auch für die Schilderung der angeblichen Intensität der Verfolgung, zumal der Beschwerdeführer lediglich geltend machte, er sei "sehr oft" bedroht worden (vgl. A20/21 F. 99, F. 115 f.). Die Vorinstanz hat somit zu Recht festgehalten, dass seine diesbezüglichen Aussagen in wesentlichen Punkten zu wenig konkret und detailarm sind. Wäre er tatsächlich über den von ihm geschilderten Zeitraum in der angeblichen Häufigkeit bedroht worden, ist nicht davon auszugehen, dass seine beiden Peiniger stets dieselben zwei bis drei stereotypen Sätze von sich gegeben hätten. Ebenso wenig hätte man es bei der Einschüchterung belassen und keine weiteren Massnahmen ergriffen, wäre seine journalistische Arbeit der Regierung tatsächlich ein Dorn im Auge gewesen. Die Ausführungen des Beschwerdeführers zur Begründung seines Asylgesuchs weisen ausserdem in wesentlichen Punkten verschiedene offensichtliche Widersprüche auf. So heisst die Zeitung für die er gearbeitet haben will, "C._______" und erscheint wöchentlich (vgl. A4/11 S. 4), oder "D._______" und erscheint alle zwei Wochen (vgl. A20/21 F. 5). Weiter machte der Beschwerdeführer einerseits geltend, er habe vor seiner Ausreise Drohungen erhalten, hätte dann die Arbeit niedergelegt und schliesslich das Land verlassen. Die Datierungen, die er diesbezüglich bei der Kurzbefragung zu Protokoll gab, unterscheiden sich jedoch grundlegend von denjenigen, die er bei der Anhörung vorbrachte. So erklärte er bei der Kurzbefragung, die Drohungen hätten im Jahr 2010/2011 (in äthiopischer Zeitrechnung entspricht dies 2003) begonnen (vgl. A4/11, S. 8), um dann bei der Anhörung zu erklären, er habe zu diesem Zeitpunkt gerade erst seine Arbeit als Journalist aufgenommen (vgl. A20/21 F. 89), und sei seit 2011/2012 (respektive 2004) bedroht worden (vgl. A20/21 F. 91). Ferner erklärte er bei der Kurzbefragung, diese Personen hätten von ihm verlangt, ihnen seine Artikel zu übergeben (Anmerkung des Gerichts: beziehungsweise zu kopieren), bevor er diese veröffentliche (A4/11, S. 8). Demgegenüber erwähnte er diese Forderungen bei der Anhörung nicht. Seinen letzten Arbeitstag datierte er bei der Kurzbefragung auf Juni beziehungsweise Juli 2011 (vgl. A4/11, S. 4), seine Ausreise aus Äthiopien auf 30. Mai 2013 (vgl. A4/11, S. 6). Demgegenüber will er bei der Anhörung bis einen Monat vor seiner Ausreise gearbeitet haben (vgl. A20/21 F. 130). Die letzte Drohung datierte er bei der Kurzbefragung auf Januar beziehungsweise Februar 2013 (vgl. A4/11, S. 8), während er bei der Anhörung erklärte, diese habe sich lediglich fünfzehn Tage vor seiner Ausreise zugetragen (vgl. A20/21 F. 100 und F. 105). Im Rahmen der Anhörung wurde er auf die aufgezeigten Unstimmigkeiten angesprochen, vermochte diese aber nicht stimmig zu erklären. Auch die Ausführungen in der Beschwerdeschrift sind nicht geeignet, diesbezüglich etwas beizutragen. So räumte der Beschwerdeführer selber ein, widersprüchlich ausgesagt zu haben; seine Aussagen beim "zweiten Interview" würden aber stimmen. Sein diesbezüglicher Erklärungsversuch, wonach er sich nach seiner Einreise in die Schweiz anfänglich aufgrund von physischen und psychischen Problemen in einer schwierigen Situation befunden, bei der Kurzbefragung noch unter dem Schock der Flucht gestanden und man ihn plötzlich zu allem befragt habe, vermag zu keiner anderen Einschätzung zu führen.</w:t>
      </w:r>
    </w:p>
    <w:p>
      <w:r>
        <w:rPr>
          <w:b/>
        </w:rPr>
        <w:t>E. 4.5</w:t>
      </w:r>
    </w:p>
    <w:p>
      <w:r>
        <w:t>Bereits beim Eintritt in die Empfangsstelle wurde dem Beschwerdeführer das Merkblatt für Asylsuchende ausgehändigt, und er bestätigte unterschriftlich, dass ihm die Aufforderung zur Papierbeschaffung innerhalb von 48 Stunden zur Kenntnis gebracht wurde. Anlässlich der Kurzbefragung wurde der Beschwerdeführer erneut darauf hingewiesen und nach seinen diesbezüglichen bisherigen Bemühungen befragt (vgl. A4/11 S. 2 und S. 5 f.). Daraufhin erklärte er, er habe bisher noch nichts in dieser Richtung unternommen und er habe auch keine Möglichkeit, Identitätspapiere zu beschaffen (vgl. A4/11 S. 6).</w:t>
      </w:r>
    </w:p>
    <w:p>
      <w:r>
        <w:rPr>
          <w:b/>
        </w:rPr>
        <w:t>E. 4.6</w:t>
      </w:r>
    </w:p>
    <w:p>
      <w:r>
        <w:t>Somit steht nach wie vor die Identität des Beschwerdeführers nicht fest, da er auch auf Beschwerdeebene darauf verzichtete, Identitätspapiere zu den Akten zu reichen. Folglich ist nicht erstellt, ob der angeblich von ihm verfasste Zeitungsartikel ihm tatsächlich zuzuordnen ist. Bezüglich der ins Recht gelegten Arbeitsbestätigung ist festzuhalten, dass es sich dabei um ein privates Schreiben handelt, dem ohnehin nur ein geringer Beweiswert zukommt. Im Übrigen kann der Identitätsnachweis auch nicht mit einem Arbeitsausweis geführt werden (vgl. BVGE 2007/7 E. 4 ff.). Zusammenfassend ergibt sich die Unglaubhaftigkeit der geltend gemachten journalistischen Tätigkeit.</w:t>
      </w:r>
    </w:p>
    <w:p>
      <w:r>
        <w:rPr>
          <w:b/>
        </w:rPr>
        <w:t>E. 4.7</w:t>
      </w:r>
    </w:p>
    <w:p>
      <w:r>
        <w:t>Aus dem Gesagten ergibt sich, dass das SEM in zutreffender Weise zur Einschätzung gelangt ist, die Vorbringen des Beschwerdeführers seien nicht glaubhaft. Die Vorinstanz hat folglich sein Asylgesuch zu Recht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Das Bundesverwaltungsgericht geht in seiner Praxis von der grundsätzlichen Zumutbarkeit des Wegweisungsvollzugs nach Äthiopien aus (vgl. BVGE 2011/25 E. 8.3 sowie, statt vieler, die Urteile E-1206/2013 vom 23. Dezember 2014 sowie D-3165/2014 vom 18. Dezember 2014). Zu berücksichtigen gilt es im Landeskontext, dass zum Aufbau einer sicheren Existenz insbesondere gut vermarktbare berufliche Fähigkeiten sowie familiäre und soziale Netzwerke hilfreich sind (vgl. BVGE 2011/25 E. 8.4). Blosse soziale und wirtschaftliche Schwierigkeiten, von denen die ansässige Bevölkerung im Allgemeinen betroffen ist (bspw. Wohnungsnot, schwieriger Arbeitsmarkt) begründen jedoch noch keine konkrete Gefährdung im Sinne von Art. 83 Abs. 4 AuG (vgl. BVGE 2010/41 E. 8.3.6). Den Akten lassen sich keine konkreten Anhaltspunkte dafür entnehmen, dass der Beschwerdeführer aus individuellen Gründen wirtschaftlicher, sozialer oder gesundheitlicher Natur bei einer Rückkehr nach Äthiopien in eine existenzbedrohende Situation geraten würde. Auch die Ausführungen zur Lage Medienschaffender in Äthiopien in der vorliegenden Beschwerdeeingabe vom 15. Dezember 2014 vermögen an dieser Einschätzung nichts zu ändern, zumal es dem Beschwerdeführer nicht gelungen ist, glaubhaft darzulegen, dass er dieser Berufsgruppe angehöre. Wie die Vorinstanz im angefochtenen Entscheid zu Recht festgestellt hat, sind die vom Beschwerdeführer geltend gemachten gesundheitlichen Probleme nicht wesentlich. Zudem hat er bei der Anhörung ausdrücklich zu Protokoll gegeben, es gehe ihm gesundheitlich gut und die ärztliche Behandlung sei abgeschlossen (vgl. A20/21, F. 181 und F. 184). Der Beschwerdeführer, der gemäss eigenen Angaben bis zur Ausreise aus Äthiopien im Frühjahr 2013 immer in B._______ gelebt hat, weist eine gute Schulbildung auf. Zudem leben seine Mutter (welche in Äthiopien einen Supermarkt besitzt) sowie seine Geschwister, seine langjährige Freundin und deren Familie noch immer in seinem Heimatland (vgl. A4/11 S. 5), so dass der Beschwerdeführer auf ein tragfähiges verwandtschaftliches Beziehungsnetz zurückgreifen kann. Damit darf davon ausgegangen werden, dass er in der Lage sein wird, sich im Heimatland wieder zu integrieren und eine neue Existenz aufzubauen. Allfällige anfängliche wirtschaftliche Reintegrationsschwierigkeiten stehen im Übrigen dem Vollzug nicht entgegen, da - wie bereits ausgeführt - blosse soziale oder wirtschaftliche Schwierigkeiten, von denen die ansässige Bevölkerung betroffen ist, keine existenzbedrohende Situation zu begründen vermögen (vgl. BVGE 2010/41 E. 8.3.6 [S. 591 f.]). Demnach erweist sich der Vollzug der Wegweisung auch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27. Januar 2015 in gleicher Höhe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