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D-141/2014 vom 12. März 2014</w:t>
      </w:r>
    </w:p>
    <w:p>
      <w:r>
        <w:t>Bundesverwaltungsgericht, 2014-03-12, DE</w:t>
      </w:r>
    </w:p>
    <w:p>
      <w:r>
        <w:rPr>
          <w:b/>
        </w:rPr>
        <w:t xml:space="preserve">Quelle: </w:t>
      </w:r>
      <w:r>
        <w:t>https://mcp.opencaselaw.ch/entscheid/bvger_D-141_2014</w:t>
      </w:r>
    </w:p>
    <w:p>
      <w:r>
        <w:t>FR: TAF D-141/2014 du 12 mars 2014</w:t>
      </w:r>
    </w:p>
    <w:p>
      <w:r>
        <w:t>IT: TAF D-141/2014 del 12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nach erfolgter Beschwerdeverbesserung - formgerecht vorliegende Beschwerde ist einzutreten (Art. 108 Abs. 1 AsylG; Art. 105 AsylG i.V.m. Art. 37 VGG und Art. 48 Abs. 1 und Art. 52 Abs. 1 VwVG).</w:t>
      </w:r>
    </w:p>
    <w:p>
      <w:r>
        <w:rPr>
          <w:b/>
        </w:rPr>
        <w:t>E. 2</w:t>
      </w:r>
    </w:p>
    <w:p>
      <w:r>
        <w:t>Mit Beschwerde kann die Verletzung von Bundesrecht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Zunächst ist auf das auf Beschwerdeebene geltend gemachte Vorbringen einzugehen, wonach der Beschwerdeführer nach einer zwischen­zeitlichen Geiselnahme im Sudan vom November 2013 nach seiner Befreiung nach Äthiopien geflohen sei, wo er sich nun mit gesundheitlichen Schwierigkeiten aufhalte. Hierzu ist festzuhalten, dass es sich hierbei um blosse Behauptungen des Beschwerdeführers handelt, welche weder durch nähere Angaben noch Beweismittel gestützt werden. Auch erweckt der von der Rechtsvertreterin in deutscher Sprache wiedergegebene Inhalt des Schreibens, die Schilderung des Ablaufs der Entführung und der Flucht, einen wenig substanziierten und eher konstruierten Eindruck. Daher steht keineswegs fest, ob sich der Beschwerdeführer tatsächlich wie geltend gemacht nun in Äthiopien oder noch immer im Sudan aufhält. Diese Frage bedarf aus nachfolgenden Gründen nicht abschliessender Beurteilung.</w:t>
      </w:r>
    </w:p>
    <w:p>
      <w:r>
        <w:rPr>
          <w:b/>
        </w:rPr>
        <w:t>E. 6.7</w:t>
      </w:r>
    </w:p>
    <w:p>
      <w:r>
        <w:t>Sollte sich der Beschwerdeführer weiterhin in Khartum aufhalten - womit sich dessen Behauptung, im Sudan entführt worden und nach seiner Befreiung nach Äthiopien geflohen zu sein, als haltlos erweisen würde - kann vollumfänglich auf die zu bestätigenden Erwägungen in der an­gefochtenen Verfügung verwiesen werden, auf die in der Beschwerde nicht näher eingegangen wird. Mit der Vorinstanz ist nämlich festzuhalten, dass der Beschwerdeführer, sollte er sich in Khartum nicht mehr hinreichend sicher fühlen und sich seine dortige sonstige Lebenssituation verschlechtern, über die Möglichkeit verfügt, sich beim UNHCR als Flüchtling zu registrieren und sich in ein Flüchtlingslager des UNHCR zu begeben, wo seine Existenz hinreichend gesichert sein dürfte. Die in diesem Zusammen­hang geäusserten Befürchtungen vor einer Entführung aus einem UNHCR-Camp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der Beschwerdeführer kein Profil auf, welches ihn mit erheblicher Wahrscheinlichkeit zum Ziel eines Entführungsversuchs machen würde. Auch vor diesem Hintergrund erscheint die blosse Behauptung des Beschwerdeführers, im Sudan Opfer einer Entführung geworden zu sein, als fraglich.</w:t>
      </w:r>
    </w:p>
    <w:p>
      <w:r>
        <w:rPr>
          <w:b/>
        </w:rPr>
        <w:t>E. 6.8</w:t>
      </w:r>
    </w:p>
    <w:p>
      <w:r>
        <w:t>Aber auch ausgehend von der Annahme, dass sich der Beschwerdeführer wie geltend gemacht tatsächlich zurzeit in Äthiopien befinden sollte, ist an der Einschätzung festzuhalten, dass er den zusätzlichen subsidiären Schutz der Schweiz nicht bedarf. Die Sicherheitssituation für eritre­ische Flüchtlinge in Äthiopien unterscheidet sich nämlich nicht wesentlich von derjenigen im Sudan und es sind keine konkreten Anhaltspunkte dafür ersichtlich, dass es dem Beschwerdeführer nicht zuzumuten wäre, den in Äthiopien bestehenden Schutz in Anspruch zu nehmen. Nach dem Gesagten ist es dem Beschwerdeführer sowohl hinsichtlich dem Sudan als auch hinsichtlich Äthiopiens objek­tiv zumutbar, den dort bestehenden Schutz in An­spruch zu nehmen.</w:t>
      </w:r>
    </w:p>
    <w:p>
      <w:r>
        <w:rPr>
          <w:b/>
        </w:rPr>
        <w:t>E. 6.9</w:t>
      </w:r>
    </w:p>
    <w:p>
      <w:r>
        <w:t>Schliesslich kam das BFM zum Schluss, die Abwägung der Gesamtum­stände und die Anknüpfung des Beschwerdeführers zur Schweiz, wel­che durch die Person der Schwester geschaf­fen werde, führe nicht dazu, dass es gerade die Schweiz sein müsse, die ihm den Schutz zu gewähren habe. Dieser Einschät­zung der Sachlage und der Feststellung, dass die durch die ver­wandtschaftliche Beziehung zu seiner Schwester bestehende Verbin­dung keine genügend enge Beziehungsnähe zur Schweiz darstelle, ist zuzu­stim­men. Auch in der Beschwerde fehlen Argumente, welche eine an­dere Sichtweise rechtfertigen würden. 7.Der Beschwerdeführer vermochte insgesamt nicht aufzuzeigen, dass er auf die Schutzgewährung durch die Schweiz angewiesen ist be­zie­hungs­weise ihm gerade die Schweiz den erforderlichen Schutz ge­währen muss. Der weitere Verbleib im Sudan beziehungsweise Äthiopien ist ihm nach dem Gesagten zuzumuten und die Vorinstanz hat ihm zu Recht die Einreise in die Schweiz verweigert und das Asylgesuch abgelehnt. 8.Aus diesen Erwägungen ergibt sich, dass die angefochtene Verfügung Bun­desrecht nicht verletzt sowie den rechtserheblichen Sachverhalt richtig und voll­ständig feststellt (Art. 106 Abs. 1 AsylG). Das BFM hat das Asylgesuch und das Gesuch um Einreise in die Schweiz zu Recht abgelehnt. Die Beschwerde ist nach dem Gesagten abzuweisen. 9.Bei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Bei dieser Sachlage wird das Gesuch um Gewährung der unentgeltlichen Rechtspflege im Sinne von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