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D-1414/2023 vom 25. April 2023</w:t>
      </w:r>
    </w:p>
    <w:p>
      <w:r>
        <w:t>Bundesverwaltungsgericht, 2023-04-25, DE</w:t>
      </w:r>
    </w:p>
    <w:p>
      <w:r>
        <w:rPr>
          <w:b/>
        </w:rPr>
        <w:t xml:space="preserve">Quelle: </w:t>
      </w:r>
      <w:r>
        <w:t>https://mcp.opencaselaw.ch/entscheid/bvger_D-1414_2023</w:t>
      </w:r>
    </w:p>
    <w:p>
      <w:r>
        <w:t>FR: TAF D-1414/2023 du 25 avril 2023</w:t>
      </w:r>
    </w:p>
    <w:p>
      <w:r>
        <w:t>IT: TAF D-1414/2023 del 25 aprile 2023</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t>D-1414/2023 Seite 3</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dagegensprechen. Wurden die an- spruchsberechtigten Personen im Sinne von Art. 51 Abs. 1 AsylG durch die Flucht getrennt und befinden sie sich im Ausland, so ist ihre Einreise auf Gesuch hin zu bewilligen (Art. 51 Abs. 4 AsylG).</w:t>
      </w:r>
    </w:p>
    <w:p>
      <w:r>
        <w:rPr>
          <w:b/>
        </w:rPr>
        <w:t>E. 3.2</w:t>
      </w:r>
    </w:p>
    <w:p>
      <w:r>
        <w:t>Das Rechtsinstitut des Familienasyls nach Art. 51 Abs. 1 und 4 AsylG bezweckt die Bewahrung von vorbestandenen Familiengemeinschaften beziehungsweise deren Wiederherstellung, sofern die Gemeinschaft al- leine aufgrund der Fluchtumstände und somit unfreiwillig getrennt wurde. Es dient weder der Aufnahme von neuen respektive von zuvor noch gar nicht gelebten familiären Beziehungen noch der Wiederaufnahme von zu- vor abgebrochenen Beziehungen (vgl. BVGE 2012/32 E. 5.4.2 m.w.H.). Die Familienzusammenführung im Sinne dieser Bestimmungen setzt somit vo- raus, dass eine Trennung durch die Fluchtumstände stattgefunden hat und im Zeitpunkt der Flucht bereits eine Familiengemeinschaft bestand.</w:t>
      </w:r>
    </w:p>
    <w:p>
      <w:r>
        <w:rPr>
          <w:b/>
        </w:rPr>
        <w:t>E. 4.1</w:t>
      </w:r>
    </w:p>
    <w:p>
      <w:r>
        <w:t>Die Vorinstanz begründete ihre Verfügung damit, gemäss geltender Rechtsprechung werde von einer eheähnlichen oder äquivalenten Bezie- hung dann gesprochen, wenn diese während mindestens zweier Jahre an- gedauert habe und eng und stabil sei. Gemäss geltender Praxis müssten die Ehegatten bereits im Heimatstaat eine Gemeinschaft bilden und dau- erhaft zusammengelebt haben. Der Beschwerdeführer habe seine Frau</w:t>
      </w:r>
    </w:p>
    <w:p>
      <w:r>
        <w:t>D-1414/2023 Seite 4 gemäss Akten im Libanon kennengelernt, aber nie mit ihr zusammenge- lebt. Ausserdem habe er sie erst kurz vor seiner Rückkehr nach Syrien ge- heiratet, von wo aus er in die Schweiz gelangt sei. Damit würden beson- dere Umstände bestehen, die gegen einen Familiennachzug sprechen würden. Es stehe dem Beschwerdeführer offen, bei den kantonalen Behör- den ein Gesuch um Familiennachzug einzureichen.</w:t>
      </w:r>
    </w:p>
    <w:p>
      <w:r>
        <w:rPr>
          <w:b/>
        </w:rPr>
        <w:t>E. 4.2</w:t>
      </w:r>
    </w:p>
    <w:p>
      <w:r>
        <w:t>Dem wurde in der Beschwerde entgegnet, der Beschwerdeführer habe zwei Monate nach der Heirat aus dem Libanon fliehen und auf gefährliche Art und Weise nach Syrien reisen müssen. Kennengelernt habe er seine Frau aber früher und die Beziehung habe vor seiner Rückkehr nach Syrien bereits länger als zwei Jahre angedauert. Dies könne er bei Bedarf bele- gen. Er erfülle somit alle Voraussetzungen für eine Familienzusammenfüh- rung.</w:t>
      </w:r>
    </w:p>
    <w:p>
      <w:r>
        <w:rPr>
          <w:b/>
        </w:rPr>
        <w:t>E. 5.1</w:t>
      </w:r>
    </w:p>
    <w:p>
      <w:r>
        <w:t>Aus den Aussagen des Beschwerdeführers anlässlich der beiden An- hörungen zu seinen Asylgründen lässt sich entnehmen, dass er seine Ehe- frau im Jahr 2018 im Libanon kennengelernt und dort soweit ersichtlich An- fang des Jahres 2020 geheiratet hat. Vier bis sechs Wochen später sei er nach Syrien zurückgekehrt. Auf die Frage hin, weshalb er nach Syrien zu- rückgekehrt sei, antwortete der Beschwerdeführer, einerseits, da sich die Wirtschaftslage im Libanon extrem verschlechtert habe und andererseits, da die Hisbollah die Syrer im Libanon schlecht behandelt und immer wieder angegriffen hätten. Auch die Fabrik, in welcher er gearbeitet habe, sei mehrmals angegriffen worden; er sei dabei verschiedentlich geschlagen worden. Die Hisbollah hätten sich gegenüber den Syrern rassistisch ver- halten. Er habe zwar gewusst, dass die Lage in Syrien nicht sicher gewe- sen sei, allerdings sei dies im Libanon eben auch nicht der Fall gewesen. Deshalb habe er gedacht, wenn er auf jeden Fall sterben würde, dann lie- ber bei seiner Familie. Zur Ausreise aus Syrien habe er sich erst entschlos- sen, als die Kurden den obligatorischen Militärdienst erlassen und das Re- gime die Kontrolle über das Gebiet, in welchem er sich aufgehalten habe, erlangt hätten, und er deshalb von allen Seiten unter Druck gestanden habe. Dies sei beides bei seiner Rückkehr nach Syrien noch nicht der Fall gewesen (vgl. vorinstanzliche Akten N […] act. 1089504-36/23 F 124 ff.).</w:t>
      </w:r>
    </w:p>
    <w:p>
      <w:r>
        <w:rPr>
          <w:b/>
        </w:rPr>
        <w:t>E. 5.2</w:t>
      </w:r>
    </w:p>
    <w:p>
      <w:r>
        <w:t>Aufgrund dieser Aussagen des Beschwerdeführers kann nicht von ei- ner Trennung des Beschwerdeführers durch die Flucht ausgegangen wer- den. Der Beschwerdeführer trennte sich freiwillig von seiner Ehefrau, um zu seiner Familie zurückzukehren. Den Entschluss zur Flucht fasste er erst</w:t>
      </w:r>
    </w:p>
    <w:p>
      <w:r>
        <w:t>D-1414/2023 Seite 5 zu einem späteren Zeitpunkt, nach seiner Rückkehr nach Syrien. Im Liba- non war er sodann gemäss eigenen Aussagen auch nicht verfolgt, sondern entschied sich für eine Rückkehr zu seiner Familie, da die Lage in Syrien zu diesem Zeitpunkt offensichtlich nicht so war, dass er hätte fliehen müs- sen. Ferner ist – mit der Vorinstanz – davon auszugehen, dass er nie mit seiner Ehefrau zusammen in einem gemeinsamen Haushalt gelebt hat. Der Umstand, dass es sich vorliegend möglicherweise um eine Liebesheirat gehandelt habe und die Ehegatten schon vorher in einer Beziehung gewe- sen seien sowie Heiratspläne gehabt hätten, ist deshalb nicht von Rele- vanz (vgl. Entscheidungen und Mitteilungen der Schweizerischen Asylre- kurskommission [EMARK] 2006 Nr. 8 E. 3.2). Obwohl die Dauer des eheli- chen Zusammenlebens nicht massgebend ist, so ist doch zwingend erfor- derlich, dass bereits vor der Flucht eine Familiengemeinschaft bestand. Dies ist vorliegend nicht der Fall, nachdem gemäss Aussagen des Be- schwerdeführers gar nie eine Familiengemeinschaft bestand, welche durch die Flucht getrennt worden wäre. Die Voraussetzungen von Art. 51 Abs. 1 und 4 AsylG sind deshalb nicht erfüllt und das SEM hat das Gesuch um Familienasyl zu Recht abgelehnt und B._______ die Einreise in die Schweiz verweigert. Es bleibt dem Beschwerdeführer jedoch unbenom- men, bei den dafür zuständigen kantonalen Migrationsbehörden ein Ge- such um Familiennachzug gestützt auf Art. 44 AIG (SR 142.20) einzu- reichen (vgl. Urteile des BVGer D-2996/2015 vom 10. Februar 2016 E. 5.3 sowie D-5403/2018 vom 16. Oktober 2018 E. 5.4).</w:t>
      </w:r>
    </w:p>
    <w:p>
      <w:r>
        <w:rPr>
          <w:b/>
        </w:rPr>
        <w:t>E. 6</w:t>
      </w:r>
    </w:p>
    <w:p>
      <w:r>
        <w:t>Aus diesen Erwägungen ergibt sich, dass die angefochtene Verfügung Bundesrecht nicht verletzt und den rechtserheblichen Sachverhalt richtig sowie vollständig feststellt (Art. 106 Abs. 1 AsylG). Die Beschwerde ist demnach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D-1414/2023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