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D-1411/2014 vom 9. Juli 2014</w:t>
      </w:r>
    </w:p>
    <w:p>
      <w:r>
        <w:t>Bundesverwaltungsgericht, 2014-07-09, DE</w:t>
      </w:r>
    </w:p>
    <w:p>
      <w:r>
        <w:rPr>
          <w:b/>
        </w:rPr>
        <w:t xml:space="preserve">Quelle: </w:t>
      </w:r>
      <w:r>
        <w:t>https://mcp.opencaselaw.ch/entscheid/bvger_D-1411_2014</w:t>
      </w:r>
    </w:p>
    <w:p>
      <w:r>
        <w:t>FR: TAF D-1411/2014 du 9 juillet 2014</w:t>
      </w:r>
    </w:p>
    <w:p>
      <w:r>
        <w:t>IT: TAF D-1411/2014 del 9 luglio 2014</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51 Abs. 1 AsylG werden Ehegatten von Flüchtlingen und deren min­derjährige Kinder als Flüchtlinge anerkannt und erhalten Asyl, sofern keine beson­deren Umstände dagegen sprechen. Beson­dere Umstände sind beispielsweise anzuneh­men, wenn das Familien­mitglied Bürger eines anderen Staates als der Flüchtling und die Familie in diesem Staat nicht gefährdet ist, wenn der Flüchtling seinen Status derivativ erworben hat, oder wenn das Familienleben während längerer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vom anerkannten Flüchtling getrennt wurden (vgl. dazu Entscheidun­gen und Mitteilungen der Schweizeri­schen Asylrekurskommission [EMARK] 2006 Nr. 7 E. 5.4. und 6.1.). Massgeblicher Zeitpunkt für die Beurteilung ist derjenige des Asyl- beziehungsweise Beschwerdeentscheides.</w:t>
      </w:r>
    </w:p>
    <w:p>
      <w:r>
        <w:rPr>
          <w:b/>
        </w:rPr>
        <w:t>E. 3.2</w:t>
      </w:r>
    </w:p>
    <w:p>
      <w:r>
        <w:t>Der Prüfung eines derivativen Anspruchs auf Anerkennung als Flüchtling im Sinne von Art. 51 AsylG geht die Prüfung der originären Flüchtlingseigenschaft nach Art. 3 AsylG vor (Art. 37 AsylV 1). Ein Gesuch um Einbezug eines sich bereits in der Schweiz befindlichen nahen Angehörigen in das Familienasyl eines in der Schweiz asylberechtigten Flüchtlings gestützt auf Art. 51 Abs. 2 AsylG ist mithin nach Treu und Glauben auch als Asylgesuch im Sinne von Art. 18 AsylG zu verstehen (BVGE 2007/19 E. 3.3).</w:t>
      </w:r>
    </w:p>
    <w:p>
      <w:r>
        <w:rPr>
          <w:b/>
        </w:rPr>
        <w:t>E. 3.3</w:t>
      </w:r>
    </w:p>
    <w:p>
      <w:r>
        <w:t>Der Vollständigkeit halber ist zu erwähnen, dass Art. 20 AsylG mit der dringlichen Änderung des Asylgesetzes vom 28. September 2012, welche am 29. September 2012 in Kraft trat und für ab diesem Datum eingereichte Auslandsgesuche Geltung hat, aufgehoben worden ist (AS 2012 5359), mithin das vorliegende Gesuch um Familienzusammenführung nicht auch als Asylgesuch aus dem Ausland zu verstehen gewesen ist.</w:t>
      </w:r>
    </w:p>
    <w:p>
      <w:r>
        <w:rPr>
          <w:b/>
        </w:rPr>
        <w:t>E. 4.1</w:t>
      </w:r>
    </w:p>
    <w:p>
      <w:r>
        <w:t>Das BFM führte zur Begründung seines negativen Entscheides im Wesentlichen aus, B.______ habe in seiner Befragung vom 16. März 2011 zu Protokoll gegeben, beim Beschwerdeführer handle es sich um das Kind seines Bruders und seiner Frau, er habe ihn nicht offiziell adoptiert, betrachte ihn jedoch als eigenen Sohn. Demgegenüber habe B.______ in der Anhörung vom 17. Januar 2012 angegeben, bei der Mutter des Beschwerdeführers habe es sich um ein Mädchen gehandelt, dessen Eltern mit einer Eheschliessung nicht einverstanden gewesen seien. Das mit Eingabe vom 4. Oktober 2013 übermittelte DNA-Ergebnis vom 5. September 2013 schliesse ein Verwandtschaftsgrad gemäss Deklaration mit rechtsgenüglicher Sicherheit aus. Deshalb, und in Anbetracht der gemachten widersprüchlichen Angaben, stehe das Verwandtschaftsverhältnis zwischen dem Beschwerdeführer und B.______ nicht fest. Im Übrigen seien die eingereichten Special Entry Permits (SEP) allesamt gefälscht.</w:t>
      </w:r>
    </w:p>
    <w:p>
      <w:r>
        <w:rPr>
          <w:b/>
        </w:rPr>
        <w:t>E. 4.2</w:t>
      </w:r>
    </w:p>
    <w:p>
      <w:r>
        <w:t>In der Rechtsmitteleingabe wurde im Wesentlichen geltend gemacht, der Beschwerdeführer sei im Alter von etwa drei Monaten zusammen mit dessen Vater zur Familie von B.______ gestossen. Im Jahr 2008 sei der Vater des Beschwerdeführers verstorben. Nach der Flucht von B.______ im Jahr 2010 habe der Beschwerdeführer drei weitere Jahre bei dessen Ehefrau und den leiblichen Kindern verbracht, bevor diese alle gemeinsam nach Indien geflohen seien. Der Beschwerdeführer sei somit das Pflegekind und habe sein ganzes Leben bei der Familie von B.______ verbracht. Auch habe es B.______ bisher unterlassen den Beschwerdeführer über seine wahre Abstammung aufzuklären. Die Vorinstanz habe es unterlassen, sich in der angefochtenen Verfügung mit dem Kindeswohl auseinanderzusetzen. Eine Verweigerung der Einreise des Beschwerdeführers komme einer Verweigerung des Rechts auf Familieneinheit gleich, womit die angefochtene Verfügung die Kinderrechtskonvention verletze. Ob im Fall einer definitiven Verweigerung der Einreisebewilligung die beiden älteren Kinder allein in die Schweiz kämen oder alle gemeinsam in Indien blieben, sei noch nicht klar - feststehe, dass die beiden jüngeren Kinder nicht ohne ihre Mutter leben könnten. Betreffend der widersprüchlichen Angaben in der Befragung respektive der Anhörung vermute B.______ eine falsche Übersetzung; die Ehefrau sei ansonsten gerne bereit, mittels DNA-Gutachten nachzuweisen, dass sie nicht die leibliche Mutter ist. Es treffe zwar zu, dass der DNA-Test zum Ergebnis gekommen sei, dass ein Verwandtschaftsgrad gemäss Deklaration mit rechtsgenüglicher Wahrscheinlichkeit auszuschliessen sei. Das BFM habe es jedoch unterlassen, die ebenfalls im DNA-Gutachten getroffene Feststellung, wonach keine Aussage darüber gemacht werden könne, ob der Bruder von B.______ nicht der Vater oder der Bruder kein Vollgeschwister von B.______ sei, zu berücksichtigen. Gemäss Auskunft von B.______ hätten er und sein Bruder andere Väter; sie seien demnach Halbgeschwister. Schliesslich sei hinsichtlich der gefälschten SEP anzumerken, dass die Ehefrau aus Angst gegenüber den Behörden selber in Erscheinung zu treten, jemanden in C._____ beauftragt habe, die Dokumente zu besorgen. Es könne sein, dass die Dokumente gefälscht seien, dies sei ihnen jedoch nicht bewusst gewesen, ansonsten sie die Dokumente nicht eingereicht hätten. Insgesamt besehen, seien die Voraussetzungen von Art. 51 Abs. 2 und Abs. 4 AsylG erfüllt, weshalb dem Beschwerdeführer, unbesehen der Zweifel am Abstammungsverhältnis, die Einreise in die Schweiz zu bewilligen sei.</w:t>
      </w:r>
    </w:p>
    <w:p>
      <w:r>
        <w:rPr>
          <w:b/>
        </w:rPr>
        <w:t>E. 4.3</w:t>
      </w:r>
    </w:p>
    <w:p>
      <w:r>
        <w:t>In seiner Vernehmlassung führte das BFM im Wesentlichen aus, B.______ habe in seinem Asylverfahren an keiner Stelle geltend gemacht, dass es sich bei seinem Bruder um einen Halbbruder handle. Der zweite Teil des DNA-Tests halte sodann lediglich fest, dass darüber, ob es sich bei B.______ um einen Halbbruder des Kindsvaters handle, keine Aussage gemacht werden könne.</w:t>
      </w:r>
    </w:p>
    <w:p>
      <w:r>
        <w:rPr>
          <w:b/>
        </w:rPr>
        <w:t>E. 4.4</w:t>
      </w:r>
    </w:p>
    <w:p>
      <w:r>
        <w:t>In der Replik wurde ausgeführt, gemäss der Tibetisch-Dolmetscherin existiere im Tibet kein Begriff analog zum Begriff Halbbruder, was kulturelle Gründe habe. Es sei in der tibetischen Tradition üblich, dass Frauen mit mehr als einem Mann Kinder hätten, welche in der Regel gemeinsam in einem Haushalt lebten. Es existiere deshalb auch kein Begriff analog des Stiefvaters. Zudem würden diese Begriffe auch im schweizerischen Kontext selten verwendet, da damit oft eine Abwertung oder Ausgrenzung einhergehe. Der Eingabe war eine Kostennote beigelegt.</w:t>
      </w:r>
    </w:p>
    <w:p>
      <w:r>
        <w:rPr>
          <w:b/>
        </w:rPr>
        <w:t>E. 5.1</w:t>
      </w:r>
    </w:p>
    <w:p>
      <w:r>
        <w:t>Nach Durchsicht der Akten kommt das Bundesverwaltungsgericht zum Schluss, dass die Ausführungen betreffend das Verhältnis zwischen B.______ und dem Beschwerdeführer glaubhaft sind, namentlich, dass der Beschwerdeführer das Kind des Halbbruders von B.______ und bei dessen Familie aufgewachsen ist. Zunächst ist festzustellen, dass B.______ sowohl bei der Befragung vom 16. März 2011 als auch der Anhörung vom 17. Januar 2012 angegeben hat, er habe (...) leibliche Söhne und einen Sohn, welcher das Kind seines Bruders sei (act. A 5/11 S. 3; A 11/13 S. 2). Letzteren betrachte er - B.______ - als seinen eigenen Sohn. Der von der Vorinstanz angeführte Widerspruch, wonach B.______ in der Befragung zu Protokoll gegeben habe, der Beschwerdeführer sei der Sohn seiner Ehefrau und seines Bruders, ist vorliegend unbeachtlich. Einerseits sind die Vorbringen betreffend die Eltern des Beschwerdeführers, abgesehen von diesem Widerspruch konsistent. Andererseits entspricht es offensichtlich nicht den Tatsachen, dass der Beschwerdeführer der Sohn der Ehefrau von B.______ ist, da dies für die Frage des vorliegenden Gesuchs um Familiennachzug zweifelsohne zugunsten des Beschwerdeführers auszulegen wäre, sich mithin nachfolgende Erörterungen erübrigen würden, da Art. 51 Abs. 1 AsylG gemäss ständiger Praxis auch Stiefkinder betrifft (vgl. dazu Urteil D-6263/2011 v. 16. Januar 2013 E. 5.2.2.3)</w:t>
      </w:r>
    </w:p>
    <w:p>
      <w:r>
        <w:rPr>
          <w:b/>
        </w:rPr>
        <w:t>E. 5.2</w:t>
      </w:r>
    </w:p>
    <w:p>
      <w:r>
        <w:t>Sodann gilt es anzumerken, dass die Vorinstanz von der Glaubhaftigkeit der Vorbringen von B.______ hinsichtlich seines Bruders, welcher einen wesentlichen Bestandteil in dessen Verfolgungsgeschichte einnimmt, ausgegangen ist. So wird denn auch weder vom BFM und noch vom Gericht in Zweifel gezogen, dass sein Bruder (...) und politisch aktiv war. Im (...) 2008 war sein Bruder, nachdem er an Protesten teilgenommen und längere Zeit verschollen war, schwer verletzt nach Hause gekommen. B.______ hatte zu seinem Bruder ein sehr schlechtes Verhältnis, da dieser sich nie um die Probleme zuhause gekümmert hat. Gemäss seinen Aussagen hätten sie schliesslich am Sterbebett Frieden geschlossen und er habe seinem Bruder versprochen, dessen politisches Engagement weiterzuführen und dessen Sohn - den Beschwerdeführer - wie seinen eigenen aufzuziehen und zu ernähren (vgl. act. A 11/13 S. 8). Von einem Freund seines Bruders namens D._____ hatte er daraufhin CDs mit regimekritischen Inhalt erhalten und diese verteilt. Im (...) 2010 ist seine Tätigkeit aufgeflogen, woraufhin er die Flucht ergriffen hat. Die Vorbringen von B.______ anlässlich seines eigenen Asylverfahrens hinsichtlich seinen verstorbenen Bruders und Vater des Beschwerdeführers sind glaubhaft und wurden auch vom BFM zu keinem Zeitpunkt in Zweifel gezogen.</w:t>
      </w:r>
    </w:p>
    <w:p>
      <w:r>
        <w:rPr>
          <w:b/>
        </w:rPr>
        <w:t>E. 5.3</w:t>
      </w:r>
    </w:p>
    <w:p>
      <w:r>
        <w:t>Das DNA-Ergebnis vom 5. September 2013 besagt demgegenüber, dass ein Verwandtschaftsgrad gemäss Deklaration (der Beschwerdeführer ist der Sohn des Bruders von B.______) mit rechtsgenüglicher Sicherheit ausgeschlossen werden könne. Eine Aussage darüber, ob der Bruder von B.______ nicht der Vater des Beschwerdeführers oder kein Vollgeschwister von B.______ sei, sei nicht möglich (act. A 8/10 S. 5). Währenddem, wie von der Vorinstanz zurecht angemerkt, der DNA-Test ausschliesst, dass es sich beim Beschwerdeführer um den Sohn eines Vollgeschwister von B.______ handelt, schliesst der Test nicht aus, dass B.______ und sein Bruder keine Vollgeschwister sind, respektive wird festgestellt, dass diesbezüglich keine Aussage gemacht werden könne. Im Sinne dieser Ausführungen besehen, finden die diesbezüglichen Ausführungen in der Beschwerde, wonach die Vorinstanz den zweiten Teil des Gutachtens ausser Acht gelassen habe, keine Stütze. Andererseits geht aus dem Gutachten aber logischerweise auch in keiner Weise hervor, dass der Bruder und B.______ keine Halbgeschwister seien.</w:t>
      </w:r>
    </w:p>
    <w:p>
      <w:r>
        <w:rPr>
          <w:b/>
        </w:rPr>
        <w:t>E. 5.4</w:t>
      </w:r>
    </w:p>
    <w:p>
      <w:r>
        <w:t>In Anbetracht der vorliegenden Akten und der äusserst substantiierten Angaben von B.______ anlässlich seines eigenen Asylverfahrens hinsichtlich des Verhältnisses zum Beschwerdeführer kommt das Bundesverwaltungs-gericht - auch unter Berücksichtigung der zweiten Feststellung im DNA-Gutachten - zum Schluss, dass von der Glaubhaftigkeit des genannten Verwandtschaftsverhältnisses - der Vater des Beschwerdeführers ist ein Halbgeschwister von B.______ - auszugehen ist. Schliesslich lässt sich dies auch mit den in der Replik gemachten Ausführungen, wonach Polyandrie im tibetanischen Kulturkreis verbreitet ist (war), vereinbaren.</w:t>
      </w:r>
    </w:p>
    <w:p>
      <w:r>
        <w:rPr>
          <w:b/>
        </w:rPr>
        <w:t>E. 6.1</w:t>
      </w:r>
    </w:p>
    <w:p>
      <w:r>
        <w:t>Das BFM führte in der angefochtenen Verfügung vom 11. Februar 2014 aus, gestützt auf Art. 51 Abs. 2 und 4 AsylG könne einem anderen nahen Angehörigen einer in der Schweiz lebenden Person Asyl gewährt werden, wenn besondere Umstände für eine Familienvereinigung sprechen würden. In der Botschaft des Bundesrates zur Totalrevision des Asylgesetzes vom 4. Dezember 1995 sei festgehalten worden, dass unter dem Begriff der anderen nahen Angehörigen unter anderem volljährige behinderte Kinder und Pflegekinder zu subsumieren seien.</w:t>
      </w:r>
    </w:p>
    <w:p>
      <w:r>
        <w:rPr>
          <w:b/>
        </w:rPr>
        <w:t>E. 6.2</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 hier von B.______ -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6.3</w:t>
      </w:r>
    </w:p>
    <w:p>
      <w:r>
        <w:t>Ebenfalls unter dem Titel Familienasyl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des Familiennachzuges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alleine die Wiedervereinigung von vorbestandenen Familiengemeinschaften.</w:t>
      </w:r>
    </w:p>
    <w:p>
      <w:r>
        <w:rPr>
          <w:b/>
        </w:rPr>
        <w:t>E. 6.4</w:t>
      </w:r>
    </w:p>
    <w:p>
      <w:r>
        <w:t>Gemäss Rechtsprechung der vormaligen Schweizerischen Asylrekurskommission (ARK), welche vom Bundesverwaltungsgericht weitergeführt wird, sind entgegen den Ausführungen der Vorinstanz unter dem Begriff der minderjährigen Kinder im Sinne von Art. 51 Abs. 1 AsylG nicht nur die gemeinsamen Kinder der Partner, sondern auch die Stief- und Adoptivkinder und andere subsumiert, da die Norm nach ihrer ratio legis die Herstellung eines einheitlichen Rechtsstatus innerhalb der Kernfamilie bezweckt (vgl. EMARK 1997 Nr. 1 E. 5b S. 6 f. und EMARK 2000 Nr. 22). Der minderjährige Beschwerdeführer ist somit unter den Begriff der minderjährigen Kinder im Sinne von Art. 51 Abs. 1 AsylG und nicht unter jenen der anderen nahen Angehörigen im Sinne von Art. 51 Abs. 2 AsylG zu subsumieren, da Art. 51 Abs. 1 AsylG einen einheitlichen Rechtsstatus innerhalb der Kernfamilie, zu welcher der Beschwerdeführer zweifelsohne zu zählen ist, bezweckt. Nach Prüfung der Akten gelangt das Bundesverwaltungs-gericht zum Schluss, dass keine besonderen Umstände im Sinne der Rechtsprechung vorliegen, welche der Zuerkennung der Flüchtlingseigenschaft und der Gewährung von Asyl für den Beschwerdeführer entgegenstehen könnten. Die Beziehung des Beschwerdeführers zu seinem Halbonkel und Stiefvater B.______ wurde durch die Flucht getrennt (Art. 51 Abs. 4 AsylG). Mit dem Gesuch um Familienzusammenführung wurde schliesslich zum Ausdruck gebracht, die getrennte Familiengemeinschaft wiederherstellen zu wollen. Die Voraussetzungen von Art. 51 Abs. 1 und 4 AsylG sind vorliegend erfüllt. Es liegen keine besonderen Umstände vor, die eine Verweigerung der Flüchtlingseigenschaft nahelegen würden.</w:t>
      </w:r>
    </w:p>
    <w:p>
      <w:r>
        <w:rPr>
          <w:b/>
        </w:rPr>
        <w:t>E. 7</w:t>
      </w:r>
    </w:p>
    <w:p>
      <w:r>
        <w:t>Aus diesen Erwägungen ergibt sich, dass die angefochtene Verfügung Bundesrecht verletzt (Art. 106 AsylG). Die Beschwerde ist gutzuheissen und die Verfügung der Vorinstanz aufzuheben. Das BFM ist anzuweisen, die Einreise des Beschwerdeführers zwecks Familienasyl und Einbezug in die Flüchtlingseigenschaft von B.______ zu bewilligen.</w:t>
      </w:r>
    </w:p>
    <w:p>
      <w:r>
        <w:rPr>
          <w:b/>
        </w:rPr>
        <w:t>E. 8</w:t>
      </w:r>
    </w:p>
    <w:p>
      <w:r>
        <w:t>Bei diesem Ausgang des Verfahrens sind keine Kosten zu erheben (Art. 63 Abs. 1 VwVG).</w:t>
      </w:r>
    </w:p>
    <w:p>
      <w:r>
        <w:rPr>
          <w:b/>
        </w:rPr>
        <w:t>E. 9</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Mit Eingabe vom 22. April 2014 reichte der Rechtsvertreter eine Kostennote in der Höhe von Fr. (...) (inklusive Auslagen) zu den Akten, welche als angemessen erscheint (Art. 10 Abs. 2 und Art. 14 VGKE). Demnach ist dem Beschwerdeführer zulasten der Vorinstanz eine Parteientschädigung in der Höhe von insgesamt Fr. (...) (inklusive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