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D-1408/2013 vom 10. Dezember 2013</w:t>
      </w:r>
    </w:p>
    <w:p>
      <w:r>
        <w:t>Bundesverwaltungsgericht, 2013-12-10, DE</w:t>
      </w:r>
    </w:p>
    <w:p>
      <w:r>
        <w:rPr>
          <w:b/>
        </w:rPr>
        <w:t xml:space="preserve">Quelle: </w:t>
      </w:r>
      <w:r>
        <w:t>https://mcp.opencaselaw.ch/entscheid/bvger_D-1408_2013</w:t>
      </w:r>
    </w:p>
    <w:p>
      <w:r>
        <w:t>FR: TAF D-1408/2013 du 10 décembre 2013</w:t>
      </w:r>
    </w:p>
    <w:p>
      <w:r>
        <w:t>IT: TAF D-1408/2013 del 10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Der Beschwerdeführer ist als Verfügungsadressat zur Beschwerdeführung legitimiert (vgl.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Auflage, Bern 1983, S. 212).</w:t>
      </w:r>
    </w:p>
    <w:p>
      <w:r>
        <w:rPr>
          <w:b/>
        </w:rPr>
        <w:t>E. 2.3</w:t>
      </w:r>
    </w:p>
    <w:p>
      <w:r>
        <w:t>Die vorliegende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11. Februar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nach dem Gesagten im Sinne der Erwägungen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zum heutigen Zeitpunkt nicht näher einzugehen.</w:t>
      </w:r>
    </w:p>
    <w:p>
      <w:r>
        <w:rPr>
          <w:b/>
        </w:rPr>
        <w:t>E. 4.1</w:t>
      </w:r>
    </w:p>
    <w:p>
      <w:r>
        <w:t>Bei diesem Ausgang des Verfahrens sind keine Kosten aufzuerlegen (Art. 63 VwVG), womit sich das Gesuch um Gewährung der unentgeltlichen Rechtspflege im Urteilszeitpunkt als gegenstandslos erweist.</w:t>
      </w:r>
    </w:p>
    <w:p>
      <w:r>
        <w:rPr>
          <w:b/>
        </w:rPr>
        <w:t>E. 4.2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Dem Beschwerdeführer ist zu Lasten des BFM aufgrund der Aktenlage, der Kostennote vom 15. März 2013 sowie unter angemessener Berücksichtigung des Aufwandes in vergleichbaren Verfahren, der massgebenden Bemessungsfaktoren (Art. 9 - 13 VGKE) und der Entschädigungspraxis in vergleichbaren Fällen eine Parteientschädigung für den Aufwand seiner Rechtsvertreterin von insgesamt Fr. 1'100.-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