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D-13/2011 vom 4. April 2011</w:t>
      </w:r>
    </w:p>
    <w:p>
      <w:r>
        <w:t>Bundesverwaltungsgericht, 2011-04-04, DE</w:t>
      </w:r>
    </w:p>
    <w:p>
      <w:r>
        <w:rPr>
          <w:b/>
        </w:rPr>
        <w:t xml:space="preserve">Quelle: </w:t>
      </w:r>
      <w:r>
        <w:t>https://mcp.opencaselaw.ch/entscheid/bvger_D-13_2011</w:t>
      </w:r>
    </w:p>
    <w:p>
      <w:r>
        <w:t>FR: TAF D-13/2011 du 4 avril 2011</w:t>
      </w:r>
    </w:p>
    <w:p>
      <w:r>
        <w:t>IT: TAF D-13/2011 del 4 aprile 2011</w:t>
      </w:r>
    </w:p>
    <w:p>
      <w:pPr>
        <w:pStyle w:val="Heading2"/>
      </w:pPr>
      <w:r>
        <w:t>Regeste</w:t>
      </w:r>
    </w:p>
    <w:p>
      <w:r>
        <w:t>Asylgesuch aus dem Ausland und Einreisebewilligung</w:t>
      </w:r>
    </w:p>
    <w:p>
      <w:pPr>
        <w:pStyle w:val="Heading2"/>
      </w:pPr>
      <w:r>
        <w:t>Erwägungen</w:t>
      </w:r>
    </w:p>
    <w:p>
      <w:r>
        <w:rPr>
          <w:b/>
        </w:rPr>
        <w:t>E. 1.1</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Mangels - formgerecht eingereichte Beschwerde ist einzutreten (Art. 108 AsylG sowie Art. 105 AsylG i.V.m. 37 VGG und Art. 48 Abs. 1 und Art. 52 VwVG).</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1.4</w:t>
      </w:r>
    </w:p>
    <w:p>
      <w:r>
        <w:t>Der Zeitpunkt der Eröffnung der angefochtenen Verfügung steht mangels Rückscheins bei den Akten nicht fest. Aus den Akten ist ersichtlich, dass die vorinstanzliche Verfügung vom 23. November 2010 von der Schweizerischen Vertretung in Colombo am 30. November 2010 versandt wurde. Den Angaben auf dem Briefumschlag kann nach Auskunft der schweizerischen Post beziehungsweise dem Track&amp;Trace-Auszug entnommen werden, dass die an das Bundesverwaltungsgericht gerichtete Eingabe am 30. Dezember 2010 beziehungsweise am 2. Januar 2011 der schweizerischen Post übergeben wurde. Mangels Rückscheins steht somit, obwohl wahrscheinlich, nicht mit Bestimmtheit fest, ob die eingereichte Beschwerde rechtzeitig erfolgt ist. Da die Beweislast für die Zustellung an die Partei der eröffnenden Behörde obliegt (vgl. André Moser/Michael Beusch/Lorenz Kneubühler, Prozessieren vor dem Bundesverwaltungs­gericht, Basel 2008, Rz. 3.150, S. 166 f.), ist nach dem Gesagten zugunsten des Beschwerdeführers davon auszugehen, dass die am 3. Januar 2011 beim Bundesverwaltungs­gericht eingetroffene Beschwerde (vgl. Sach­verhalt Bst. F) rechtzeitig erfolgt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4.2</w:t>
      </w:r>
    </w:p>
    <w:p>
      <w:r>
        <w:t>Vorliegend wurde der Beschwerdeführer von der schweizerischen Ver­tretung in Colombo nicht zu seinen Asylgründen befragt. Er konnte seine Vorbringen indessen bereits in seinem Asylgesuch und in deren Er­gänzungen schriftlich darlegen und dokumentieren und erhielt danach mit Zwischenverfügung des BFM vom 24. August 2010 Gelegenheit zur weiteren Konkretisierung seiner Asylgründe; gleichzeitig wurde ihm auch das rechtliche Gehör im Hinblick auf die in Erwägung gezogene Abweisung des Asylgesuchs gewährt. Das BFM ist daher zutreffend davon ausgegangen, dass der entscheidwesentliche Sachverhalt angesichts der schriftlichen Darlegung und Dokumentierung der Asylgründe soweit erstellt ist, dass die entscheidrelevanten Elemente vorliegen. Das BFM hat den verfahrens­rechtlichen Anforderungen damit Genüge getan.</w:t>
      </w:r>
    </w:p>
    <w:p>
      <w:r>
        <w:rPr>
          <w:b/>
        </w:rPr>
        <w:t>E. 5.1</w:t>
      </w:r>
    </w:p>
    <w:p>
      <w:r>
        <w:t>Das BFM kann ein im Ausland gestelltes Asylgesuch ablehnen, wenn die asylsuchende Person keine Verfolgung glaubhaft machen kann oder ihr die Aufnahme in einem Drittstaat zugemutet werden kann (vgl. Art. 3, Art. 7 und Art. 52 Abs. 2 AsylG).</w:t>
      </w:r>
    </w:p>
    <w:p>
      <w:r>
        <w:rPr>
          <w:b/>
        </w:rPr>
        <w:t>E. 5.2</w:t>
      </w:r>
    </w:p>
    <w:p>
      <w:r>
        <w:t>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ARK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5.3</w:t>
      </w:r>
    </w:p>
    <w:p>
      <w:r>
        <w:t>Aus nachfolgenden Gründen ist die Einschätzung des BFM in der angefochtenen Verfügung, wonach sich aus den wesentlichen Vorbringen des Beschwerdeführers, sowohl von der srilankischen Armee als auch von Unbekannten behelligt zu werden, keine asylrelevante Gefährdungssituation des Beschwerdeführers ergebe, zu bestätigen.</w:t>
      </w:r>
    </w:p>
    <w:p>
      <w:r>
        <w:rPr>
          <w:b/>
        </w:rPr>
        <w:t>E. 5.4</w:t>
      </w:r>
    </w:p>
    <w:p>
      <w:r>
        <w:t>Zum einen ist mit der Vorinstanz festzuhalten, dass der Beschwerdeführer nach seiner Festnahme im August 2008 wieder freigelassen wurde, was auf ein fehlendes Verfolgungsinteresse des srilankischen Staates schliessen lässt. Zwar ist die Freilassung mit der Auflage erfolgt, sich regelmässig im Armeecamp zu melden, indessen ist diese behördliche Massnahme mangels erforderlicher Intensität nicht als Verfolgungsmassnahme zu erachten. Es bestehen somit keine konkreten Anhaltspunkte für eine begründete Furcht des Beschwerdeführers vor künftiger Verfolgung. In diesem Zusammenhang ist auf die veränderte allgemeine Situation in Sri Lanka hinzuweisen. Nach Beendigung des Krieges und der endgültigen Niederlage der LTTE ist die Gefahr für den Beschwerdeführer, erneut der Zugehörigkeit zu den LTTE verdächtigt zu werden, tendenziell geringer geworden. Indessen haben die srilankischen Be­hörden - namentlich im Grossraum Colom­bo - die Si­cherheitsmass­nahmen nicht gelockert. Daher besteht die Möglichkeit, überall und jederzeit von srilankischem Si­cher­heits­personal einer minuziösen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w:t>
      </w:r>
    </w:p>
    <w:p>
      <w:r>
        <w:rPr>
          <w:b/>
        </w:rPr>
        <w:t>E. 5.5</w:t>
      </w:r>
    </w:p>
    <w:p>
      <w:r>
        <w:t>Zum anderen ist im Zusammenhang mit dem Vorbringen des Beschwerdeführers, von Unbekannten zur Leistung von Geld erpresst und unter dem Vorwurf, den LTTE angehört zu haben, bedroht zu werden, auf die weiterhin geltende Praxis des Bundesverwaltungsgerichts hinzuweisen, wonach neben der unmittelbaren staatlichen auch die nichtstaatliche Verfolgung grundsätzlich flüchtlingsrechtlich relevant ist. Nach dieser Schutztheorie (vgl. EMARK 2006 Nr. 18) hängt die flüchtlingsrechtliche Relevanz einer Verfolgung nicht von der Frage des Urhebers, sondern vom Vorhandensein eines adäquaten Schutzes durch den Heimatstaat ab (vgl. EMARK 2006 Nr. 18 E. 6.3.1 und 10.2.1). In diesem Sinne kommt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der Quasi-Staat) nicht in der Lage oder nicht willens ist, adäquaten Schutz vor Verfolgung zu bieten (vgl. sinngemäss Art. 6 Bst. c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 Mit Bezug auf die Frage, welche Art und welchen Grad von Schutz vor nichtstaatlicher Verfolgung im Heimatstaat (bzw. allenfalls in einem Quasi-Staat) als adäquat zu erachten ist und damit - aufgrund der Subsidiarität des flüchtlingsrechtlichen Schutzes - eine Anerkennung als Flüchtling ausschliesst, ist nach dem Grundsatzurteil EMARK 2006 Nr. 18 der ARK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Rechts- und Justizsystem zu denken ist, das eine effektive Strafverfolgung ermöglicht. Im Weiteren muss die Inanspruchnahme eines solchen Schutzsystems der betroffenen Person objektiv zugänglich und individuell zumutbar sein. Mit der Vorinstanz ist festzuhalten, dass von der Schutzfähigkeit des srilankischen Staates auszugehen ist und daher grundsätzlich die Möglichkeit besteht, bei den zuständigen Behörden um Schutz vor Verfolgung seitens Dritter zu ersuchen. Vorliegend ergeben sich keine Anhaltspunkte auf eine Schutzunwilligkeit des srilankischen Staates, hat der Beschwerdeführer doch im Rahmen des vorinstanzlichen Verfahrens nicht geltend gemacht, vergeblich um behördlichen Schutz ersucht zu haben. Zur Vermeidung von Wiederholungen kann auf die übrigen zutreffenden Erwägungen des BFM verwiesen werden, welche in der Beschwerde, in der im Wesentlichen lediglich die bereits im Rahmen des vorinstanzlichen Verfahrens geltend gemachten Vorbringen wiederholt werden, nicht entkräftet worden sind.</w:t>
      </w:r>
    </w:p>
    <w:p>
      <w:r>
        <w:rPr>
          <w:b/>
        </w:rPr>
        <w:t>E. 6</w:t>
      </w:r>
    </w:p>
    <w:p>
      <w:r>
        <w:t>Somit ist es dem Beschwerdeführer nicht gelungen, eine aktuelle Gefährdung im Sinne von Art. 3 AsylG aufzuzeigen, welche die Bewilligung der Ein­reise in die Schweiz rechtfertigen würde. Die Schutzbedürftigkeit des Beschwerdeführers im Sinne von Art. 20 i.V.m. Art. 3 AsylG ist nicht gegeben. Im Übrigen ist auch eine Beziehungsnähe des Beschwerdeführers zur Schweiz zu verneinen (Art. 52 Abs. 2 AsylG). Das BFM hat dem Beschwerdeführer zu Recht die Einreise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daher abzuweisen.</w:t>
      </w:r>
    </w:p>
    <w:p>
      <w:r>
        <w:rPr>
          <w:b/>
        </w:rPr>
        <w:t>E. 8</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