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D-1395/2016 vom 3. Mai 2016</w:t>
      </w:r>
    </w:p>
    <w:p>
      <w:r>
        <w:t>Bundesverwaltungsgericht, 2016-05-03, DE</w:t>
      </w:r>
    </w:p>
    <w:p>
      <w:r>
        <w:rPr>
          <w:b/>
        </w:rPr>
        <w:t xml:space="preserve">Quelle: </w:t>
      </w:r>
      <w:r>
        <w:t>https://mcp.opencaselaw.ch/entscheid/bvger_D-1395_2016</w:t>
      </w:r>
    </w:p>
    <w:p>
      <w:r>
        <w:t>FR: TAF D-1395/2016 du 3 mai 2016</w:t>
      </w:r>
    </w:p>
    <w:p>
      <w:r>
        <w:t>IT: TAF D-1395/2016 del 3 maggio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des Bundesgerichtsgesetzes vom 17. Juni 2005 [BGG, SR 173.110]).</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somit einzutreten (Art. 50 und 52 VwVG).</w:t>
      </w:r>
    </w:p>
    <w:p>
      <w:r>
        <w:rPr>
          <w:b/>
        </w:rPr>
        <w:t>E. 1.4</w:t>
      </w:r>
    </w:p>
    <w:p>
      <w:r>
        <w:t>Das Bundesverwaltungsgericht überprüft die vorliegend angefochtene Verfügung auf Verletzung von Bundesrecht (einschliesslich Überschreitung oder Missbrauch des Ermessens), auf die unrichtige oder unvollständige Feststellung des rechtserheblichen Sachverhalts Unangemessenheit hin (Art. 49 VwVG; vgl. BVGE 2015/5 E. 2). Es wendet dabei das Bundesrecht von Amtes wegen an und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1.5</w:t>
      </w:r>
    </w:p>
    <w:p>
      <w:r>
        <w:t>Gestützt auf Art. 57 Abs. 1 e contrario VwVG wurde vorliegend auf einen Schriftenwechsel verzichtet.</w:t>
      </w:r>
    </w:p>
    <w:p>
      <w:r>
        <w:rPr>
          <w:b/>
        </w:rPr>
        <w:t>E. 1.6</w:t>
      </w:r>
    </w:p>
    <w:p>
      <w:r>
        <w:t>Das Bundesverwaltungsgericht stützt sich in der Beurteilung auf die Akten der schweizerischen Botschaft in Bangkok sowie die der Vorinstanz, welche als paginierte Ausdrucke per 7. März 2016 der elektronischen Dokumentenverwaltung (e-Dossier) vorliegen.</w:t>
      </w:r>
    </w:p>
    <w:p>
      <w:r>
        <w:rPr>
          <w:b/>
        </w:rPr>
        <w:t>E. 2.1</w:t>
      </w:r>
    </w:p>
    <w:p>
      <w:r>
        <w:t>Der Beschwerdeführer ersuchte in erster Linie um Erteilung eines Visums aus humanitären Gründen sowie gleichzeitig auch um Erteilung eines Schengen-Visums (vgl. schriftliches Visumsgesuch vom 16. Juli 2015, act. 1 S. 9-39).</w:t>
      </w:r>
    </w:p>
    <w:p>
      <w:r>
        <w:rPr>
          <w:b/>
        </w:rPr>
        <w:t>E. 2.2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Vorbehaltlich völkerrechtlicher Verpflichtungen handelt es sich vielmehr um einen autonomen Entscheid (vgl. Botschaft zum Bundesgesetz über Ausländerinnen und Ausländer vom 8. März 2002, BBl 2002 3774; BGE 135 II 1 E. 1.1 mit Hinweisen).</w:t>
      </w:r>
    </w:p>
    <w:p>
      <w:r>
        <w:rPr>
          <w:b/>
        </w:rPr>
        <w:t>E. 2.3</w:t>
      </w:r>
    </w:p>
    <w:p>
      <w:r>
        <w:t>Der angefochtenen Verfügung liegt ein Gesuch eines sri-lankischen Staatsangehörigen um Erteilung eines Schengen-Visums beziehungsweise eines humanitären Visums zugrunde. Die im AuG und seinen Ausführungsbestimmungen enthaltenen Regelungen über das Visumsverfahren und über die Ein- und Ausreise gelangen nur soweit zur Anwendung, als die Schengen-Assoziierungsabkommen keine abweichenden Bestimmungen enthalten (vgl. Art. 2 Abs. 2 bis 5 AuG).</w:t>
      </w:r>
    </w:p>
    <w:p>
      <w:r>
        <w:rPr>
          <w:b/>
        </w:rPr>
        <w:t>E. 2.4</w:t>
      </w:r>
    </w:p>
    <w:p>
      <w:r>
        <w:t>Angehörige von Staaten, die nicht Teil des Schengen-Raumes sind (sog. Drittstaaten) benötigen zur Einreise in die Schweiz beziehungsweise den Schengen-Raum für einen Aufenthalt von höchstens 90 Tagen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Art. 14 Abs. 1 Bst. a-e und Art. 21 Abs. 1 Visakodex, vgl. auch BVGE 2009/27 E. 5 und 6).</w:t>
      </w:r>
    </w:p>
    <w:p>
      <w:r>
        <w:rPr>
          <w:b/>
        </w:rPr>
        <w:t>E. 2.5</w:t>
      </w:r>
    </w:p>
    <w:p>
      <w:r>
        <w:t>Der Beschwerdeführer unterliegt als sri-lankischer Staatsangehöriger der Visumspflicht (Art. 4 VEV mit Verweis auf Anhang I der Verordnung [EG] Nr. 539/2001). Dass er - wie vom SEM erwogen - die Voraussetzungen für die Erteilung eines Schengen-Visums nicht erfüllt, wird durch ihn nicht bestritten. Bestritten wird hingegen die Verweigerung der Erteilung eines Visums aus humanitären Gründen.</w:t>
      </w:r>
    </w:p>
    <w:p>
      <w:r>
        <w:rPr>
          <w:b/>
        </w:rPr>
        <w:t>E. 2.6</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Schengener Grenzkodex). Sobald sich der Inhaber eines Visums aus humanitären Gründen in der Schweiz befindet, muss er ein Asylgesuch einreichen. Falls er das unterlässt, hat er die Schweiz nach 90 Tagen wieder zu verlassen.</w:t>
      </w:r>
    </w:p>
    <w:p>
      <w:r>
        <w:rPr>
          <w:b/>
        </w:rPr>
        <w:t>E. 2.7</w:t>
      </w:r>
    </w:p>
    <w:p>
      <w:r>
        <w:t>Die Möglichkeit der Erteilung eines Visums aus humanitären Gründen hat insbesondere angesichts der Aufhebung der Möglichkeit, bei einer Schweizer Vertretung im Ausland ein Asylgesuch einzureichen (dringliche Änderung des Asylgesetzes vom 28. September 2012 [AS 2012 5359], in Kraft getreten am 29. September 2012) an Bedeutung gewonnen. In seiner Botschaft zur entsprechenden Gesetzesänderung hat der Bundesrat auf die Möglichkeit der Visumerteilung aus humanitären Gründen verschie­dentlich Bezug genommen. Am 28. September 2012 hat die Vorinstanz die Weisung Nr. 322.126 "Visumsantrag aus humanitären Gründen" erlassen, welche am 25. Februar 2014 (in Kraft seit 1. März 2014) überarbeitet wurde. Bei dieser Weisung handelt es sich um eine Konkretisierung der Voraussetzungen für ein Visum aus humanitären Gründen gemäss Art. 2 Abs. 4 VEV respektive um eine vollzugslenkende Verwaltungsverordnung, welche inzident auf ihre Rechtmässigkeit überprüft werden kann (vgl. dazu: BVGE 2015/5 E. 6.3). Ein Visum aus humanitären Gründen kann demnach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2.8</w:t>
      </w:r>
    </w:p>
    <w:p>
      <w:r>
        <w:t>Der Beschwerdeführer stammt aus Sri Lanka, ein Staat der sich nicht - mehr - im Bürgerkriegszustand befindet. Ob der Beschwerdeführer dort einer unmittelbaren, individuellen Gefährdung ausgesetzt gewesen ist und nach wie vor wäre, könnte aufgrund des von ihm wohl als glaubhaft anzuerkennenden Sachverhalts (ehemaliges Mitglied der LTTE, welches in der Vergangenheit mehrfach behelligt und gefoltert wurde) respektive des ihm durch das UNHCR am 31. Dezember 2015 verliehenen Flüchtlingsstatus zumindest nicht von Vornherein ausgeschlossen werden. Da sich der Beschwerdeführer aktuell in Thailand, einem Drittstaat befindet, wäre zudem zu prüfen, ob - wie vom SEM angenommen - gemäss erwähnter Regelvermutung (vgl. E. 2.7) dort keine Gefährdung mehr bestünde. Eine solche Prüfung erfolgte - indes durch das SEM - wie unter E. 3 aufgezeigt - nicht.</w:t>
      </w:r>
    </w:p>
    <w:p>
      <w:r>
        <w:rPr>
          <w:b/>
        </w:rPr>
        <w:t>E. 3.1</w:t>
      </w:r>
    </w:p>
    <w:p>
      <w:r>
        <w:t>Im Verwaltungsverfahren gilt der Untersuchungsgrundsatz, das heisst, die Behörde stellt den rechtserheblichen Sachverhalt von Amtes wegen fest (Art. Art. 12 VwVG). Für das erstinstanzliche ausländerrechtliche Verfahren bedeutet dies, dass das SEM zur richtigen und vollständigen Ermittlung und Feststellung des rechtserheblichen Sachverhalts verpflichtet ist und auch nach allen Elementen zu forschen hat, die zugunsten der gesuchstellenden Person sprechen. Der Untersuchungsgrundsatz gilt nicht uneingeschränkt, zumal er sein Korrelat in der Mitwirkungspflicht des Gesuchstellers findet (Art. 13 VwVG; vgl. Christoph Auer, in: Auer/Müller/Schindler [Hrsg.] Kommentar zum Bundesgesetz über das Verwaltungsverfahren, 2008, Art. 12 Rz. 8). Der Grundsatz des rechtlichen Gehörs verlangt zudem, dass die verfügende Behörde die Vorbringen der Betroffenen tatsächlich hört, sorgfältig und ernsthaft prüft und in der Entscheidfindung berücksichtigt (Art. 29 Abs. 2 BV, Art. 29 VwVG, Art. 32 Abs. 1 VwVG). Daraus folgt die grundsätzliche Pflicht der Behörden, sich mit den wesentlichen Vorbringen der Rechtssuchenden zu befassen und ihren Entscheid zu begründen (Art. 35 Abs. 1 VwVG). Die Begründung eines Entscheides muss so abgefasst sein, dass der Betroffene ihn gegebenenfalls sachgerecht anfechten kann, was nur der Fall ist, wenn sich sowohl der von der Verfügung Betroffene als auch die Rechtsmittelinstanz über die Tragweite des Entscheides ein Bild machen können. Die verfügende Behörde muss sich zwar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Auer/Müller/Schindler [Hrsg.], 2008, N. 6 ff. zu Art. 35; vgl. auch BVGE 2008/47 E. 3.2 S. 674 f. und BVGE 2007/30 E. 5.6 S. 366 f.).</w:t>
      </w:r>
    </w:p>
    <w:p>
      <w:r>
        <w:rPr>
          <w:b/>
        </w:rPr>
        <w:t>E. 3.2</w:t>
      </w:r>
    </w:p>
    <w:p>
      <w:r>
        <w:t>Seine Schlussziehung, wonach der Beschwerdeführer in Thailand, einem Drittstaat, keiner Gefährdung ausgesetzt sei, stützt das SEM einzig darauf ab, dass dieser geltend mache, er könne aufgrund seines nicht geregelten Aufenthalts in Bangkok kein freies und friedvolles Leben führen (vgl. act. 8 S. 74). Die Hinweise des Beschwerdeführers auf die von ihm dargelegten existenziellen Probleme, seine Schilderungen die allgemeine Situation von Asylsuchenden und Flüchtlingen in Thailand betreffend, insbesondere aber seine Mitteilung, wonach er seit dem 8. Oktober 2015 in Thailand in Haft ist (vgl. act. 1 S. 34, act. 5 S. 49 ff.) finden weder in den Sachverhaltsfeststellungen noch in den Erwägungen Eingang. Eine vertiefte Klärung der Fragen danach, ob sich der Beschwerdeführer in einer besonderen Notsituation befindet respektive er der Gefahr einer Rückschiebung nach Sri Lanka und allenfalls einem damit verbundenen Verfolgungsrisiko ausgesetzt ist, erfolgt durch das SEM nicht. Mit Blick auf die allgemeine Situation von Asylsuchenden und Flüchtlingen in Thailand, ist die Auseinandersetzung mit erwähnten Fragen indes unabdingbar. Denn diese Personenkategorien werden in Thailand als "illegale Immigranten" erachtet und können dementsprechend, wie vorliegend geschehen, inhaftiert werden. Thailand ist zudem nicht Vertragspartei der FK und missachte offenbar das Non-Refoulement-Gebot bei der Ausschaffung insbesondere tamilischer Asylsuchender, auch wenn diese beim UNHCR registriert seien (vgl. Urteil D-1897/2014 vom 9. Februar 2015 E. 7.3).</w:t>
      </w:r>
    </w:p>
    <w:p>
      <w:r>
        <w:rPr>
          <w:b/>
        </w:rPr>
        <w:t>E. 3.3</w:t>
      </w:r>
    </w:p>
    <w:p>
      <w:r>
        <w:t>Der vom SEM erstellte Sachverhalt erweist sich demnach in wesentlichen Teilen als offensichtlich unvollständig. Insbesondere hätte das SEM den Umstand, dass sich der Beschwerdeführer in Haft befindet, berücksichtigen und sich ein Bild von der allgemeinen Situation von Asylsuchenden und Flüchtlingen in Thailand machen und die Gefahr einer Rückschiebung prüfen müssen. Dies war offenbar zunächst geplant, findet sich doch eine entsprechende Anfrage vom 3. November 2015 in den Akten (vgl. act. 6 S. 55). Die Anfrage blieb aber offenbar unbeantwortet. In Ermangelung dieser Klärung fand denn auch keine einzelfallbezogene Auseinandersetzung über eine allfällige Gefährdungslage des Beschwerdeführers statt. Den Anforderungen an eine hinreichende Begründung wurde damit ebenfalls nicht Genüge getan. Das SEM hat damit das rechtliche Gehör des Beschwerdeführers in schwerwiegender Weise verletzt.</w:t>
      </w:r>
    </w:p>
    <w:p>
      <w:r>
        <w:rPr>
          <w:b/>
        </w:rPr>
        <w:t>E. 3.4</w:t>
      </w:r>
    </w:p>
    <w:p>
      <w:r>
        <w:t>Gemäss Art. 61 Abs. 1 VwVG entscheidet das Bundesverwaltungsgericht in der Sache selbst oder weist diese ausnahmsweise mit verbindlichen Weisungen an die Vorinstanz zurück. Eine Kassation und Rückweisung an die Vorinstanz ist vorliegend angezeigt, da die festgestellten Mängel schwer wiegen und insbesondere weitere Abklärungen durch das SEM respektive Tatsachen festzustellen sind. Eine Heilung der fehlenden Entscheidungsreife durch die Beschwerdeinstanz fällt demnach nicht in Betracht (vgl. BVGE 2012/21 E. 5).</w:t>
      </w:r>
    </w:p>
    <w:p>
      <w:r>
        <w:rPr>
          <w:b/>
        </w:rPr>
        <w:t>E. 3.5</w:t>
      </w:r>
    </w:p>
    <w:p>
      <w:r>
        <w:t>Die Beschwerde ist daher im Sinne der Erwägungen gutzuheissen. Die angefochtene Verfügung ist aufzuheben und die Sache zu neuer Entscheidung an die Vorinstanz zurückzuweisen.</w:t>
      </w:r>
    </w:p>
    <w:p>
      <w:r>
        <w:rPr>
          <w:b/>
        </w:rPr>
        <w:t>E. 4.1</w:t>
      </w:r>
    </w:p>
    <w:p>
      <w:r>
        <w:t>Bei diesem Ausgang des Verfahrens sind keine Kosten zu erheben (Art. 63 Abs. 1 und 2 VwVG).</w:t>
      </w:r>
    </w:p>
    <w:p>
      <w:r>
        <w:rPr>
          <w:b/>
        </w:rPr>
        <w:t>E. 4.2</w:t>
      </w:r>
    </w:p>
    <w:p>
      <w:r>
        <w:t>Aufgrund der Annahme, dass die Rechtsvertretung des Beschwerdeführers unentgeltlich tätig geworden ist und in Ermangelung geltend gemachter Auslagen ist nicht davon auszugehen, dass dem Beschwerdeführer verhältnismässig hohe und somit entschädigungspflichtige Vertretungskosten entstanden wären (vgl. Art. 64 Abs. 1 VwVG; Art. 7 ff. des Reglements vom 21. Februar 2008 über die Kosten und Entschädigungen vor dem Bundesverwaltungsgericht [VGKE, SR 173.320.2]). Somit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