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D-1394/2017 vom 5. April 2017</w:t>
      </w:r>
    </w:p>
    <w:p>
      <w:r>
        <w:t>Bundesverwaltungsgericht, 2017-04-05, DE</w:t>
      </w:r>
    </w:p>
    <w:p>
      <w:r>
        <w:rPr>
          <w:b/>
        </w:rPr>
        <w:t xml:space="preserve">Quelle: </w:t>
      </w:r>
      <w:r>
        <w:t>https://mcp.opencaselaw.ch/entscheid/bvger_D-1394_2017</w:t>
      </w:r>
    </w:p>
    <w:p>
      <w:r>
        <w:t>FR: TAF D-1394/2017 du 5 avril 2017</w:t>
      </w:r>
    </w:p>
    <w:p>
      <w:r>
        <w:t>IT: TAF D-1394/2017 del 5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SEM hat sich in der angefochtenen Verfügung ausführlich und sorgfältig mit den Vorbringen der Beschwerdeführenden auseinandergesetzt sowie den Sachverhalt - unter anderem durch eine neuerliche Botschaftsabklärung - eingehend abgeklärt. Diesen Erwägungen schliesst sich das Bundesverwaltungsgericht denn auch an, wobei zu unterstreichen ist, dass es sich bei den Streitigkeiten mit den Nachbarn um Konflikte mit privaten Dritten handelte und die Beschwerdeführenden nicht aufzeigen konnten, dass die kosovarischen Behörden ihnen gegenüber nicht schutzfähig oder schutzwillig wären. Die Beschwerdeführenden haben sich indessen nicht an diese gewandt, obschon auch die auf den Konflikt aufmerksam gemachte internationale Organisation auf die lokale Polizei verwiesen hatte. Da sich die eingereichten Beweismittel bezüglich der Strafanzeige und des damit verbundenen Gerichtsverfahrens durch die Abklärungen der Schweizer Botschaft als Fälschungen herausgestellt haben, wird dem geltend gemachten Verfahren jegliche Grundlage entzogen. Die Beschwerdeführenden bestreiten indessen die Fälschungen nicht mehr, geben hingegen an, diese Dokumente so erhalten zu haben und keine Zweifel an deren Echtheit gehabt zu haben. Eine asylrelevante Verfolgung kann daraus nicht abgeleitet werden. Den Beschwerdeführenden wurde mit Schrieben vom 18. Mai 2016 zwar in knapper, aber in durchaus rechtsgenüglichen Form das rechtliche Gehör zur Botschaftsabklärung gewährt. Dieses Schreiben wurde dem Rechtsvertreter in Beantwortung des Akteneinsichtsgesuchs am 22. Februar 2017 auch zugestellt, weshalb nicht ersichtlich ist, weshalb keine prozessrelevanten Äusserungen in der Beschwerde gemacht werden konnten. Ferner sind keine Gründe ersichtlich, wonach die Rechtsprechung des Bundesverwaltungsgerichts BVGE 2010/41 keine Gültigkeit mehr hätte, weshalb die Wegweisung für Personen aus dem Kosovo nach Serbien nach wie vor unter den zu berücksichtigenden Kriterien - welche das SEM vorliegend berücksichtig und angemessen angewandt hat - zumutbar ist. Den Beschwerdeführenden steht demzufolge eine Fluchtalternative in Serbien offen. Aufgrund dieser Fluchtalternative sowie der nicht widerlegten Schutzwilligkeit der kosovarischen Behörden kann vorliegend auf eine eingehende Beurteilung der Glaubhaftigkeit der Vorbringen verzichtet werden, wobei diese durch die weiteren Abklärungen der Botschaft ohnehin angezweifelt wird. Auch die Vorbringen in der Beschwerde vermögen am Gesamten nichts zu ändern.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w:t>
      </w:r>
    </w:p>
    <w:p>
      <w:r>
        <w:rPr>
          <w:b/>
        </w:rPr>
        <w:t>E. 7.2.5</w:t>
      </w:r>
    </w:p>
    <w:p>
      <w:r>
        <w:t>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Weder im Kosovo noch in Serbien herrscht im heutigen Zeitpunkt eine Situation allgemeiner Gewalt,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 von Art. 83 Abs. 4 AuG darzustellen (vgl. BVGE 2010/41 E. 8.3.6 S. 591; EMARK 2005 Nr. 24 E. 10.1 S. 215).</w:t>
      </w:r>
    </w:p>
    <w:p>
      <w:r>
        <w:rPr>
          <w:b/>
        </w:rPr>
        <w:t>E. 7.3.2.1</w:t>
      </w:r>
    </w:p>
    <w:p>
      <w:r>
        <w:t>Ferner ist aus medizinischen Gründen gemäss Praxis des Bundesverwaltungsgerichts nur dann auf Unzumutbarkeit des Wegweisungsvollzugs nach Art. 83 Abs. 4 AuG zu schliessen, wenn eine notwendige Behandlung im Heimatland nicht zur Verfügung steht und die Rückkehr zu einer raschen und lebensgefährdenden Beeinträchtigung des Gesundheitszustandes, zur Invalidität oder sogar zum Tod der betroffenen Person führt (vgl. BVGE 2009/2 E. 9.3.2, BVGE 2009/52 E. 10.1, BVGE 2009/51 E. 5.5, BVGE 2009/28 E. 9.3.1, je mit weiteren Hinweisen). Das SEM hat daher in der angefochtenen Verfügung den Vollzug der Wegweisung der Beschwerdeführenden zu Recht als zumutbar bezeichnet. Zudem sind die gesundheitlichen Leiden der Beschwerdeführerin in Serbien bereits verschiedentlich behandelt worden. Weiter ist unter Berücksichtigung der Rückkehr mit seinen Eltern und dem lediglich kurzen Aufenthalt in der Schweiz auch davon auszugehen, dass sich [das Kind] wieder zu reinte-grieren vermag. Eine Gefährdung des Kindeswohls ist nicht ersichtlich.</w:t>
      </w:r>
    </w:p>
    <w:p>
      <w:r>
        <w:rPr>
          <w:b/>
        </w:rPr>
        <w:t>E. 7.3.3</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Art. 1-3 des Reglements vom 21. Februar 2008 über die Kosten und Entschädigungen vor dem Bundesverwaltungsgericht [VGKE, SR 173.320.2]). Der am 28. März 2017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