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D-1387/2026 vom 6. März 2026</w:t>
      </w:r>
    </w:p>
    <w:p>
      <w:r>
        <w:t>Bundesverwaltungsgericht, 2026-03-06, DE</w:t>
      </w:r>
    </w:p>
    <w:p>
      <w:r>
        <w:rPr>
          <w:b/>
        </w:rPr>
        <w:t xml:space="preserve">Quelle: </w:t>
      </w:r>
      <w:r>
        <w:t>https://mcp.opencaselaw.ch/entscheid/bvger_D-1387_2026</w:t>
      </w:r>
    </w:p>
    <w:p>
      <w:r>
        <w:t>FR: TAF D-1387/2026 du 6 mars 2026</w:t>
      </w:r>
    </w:p>
    <w:p>
      <w:r>
        <w:t>IT: TAF D-1387/2026 del 6 marzo 2026</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 umfasst auch die Beurteilung von Gesuchen um Wiederherstellung von Fristen im Sinne von Art. 24 Abs. 1 VwVG, welche im Zusammenhang mit solchen Beschwerden stehen. Auf dem Gebiet des Asyls entscheidet das Bundesverwaltungsgericht in der Regel - und so auch vorliegend - endgültig (Art. 83 Bst. d Ziff. 1 BGG).</w:t>
      </w:r>
    </w:p>
    <w:p>
      <w:r>
        <w:rPr>
          <w:b/>
        </w:rPr>
        <w:t>E. 1.2</w:t>
      </w:r>
    </w:p>
    <w:p>
      <w:r>
        <w:t>Die Fristwiederherstellung nach Art. 24 Abs. 1 VwVG kann auch verlangt werden, wenn das Verfahren, in dem die Partei eine Frist versäumt hat, bereits abgeschlossen ist, wobei im Falle einer Gutheissung des Fristwiederherstellungsgesuchs der bestehende Entscheid aufgehoben wird (vgl. PATRICIA EGLI, in: Waldmann/Krauskopf [Hrsg.], Praxiskommentar VwVG, 3. Aufl. 2023, N 6 zu Art. 24). Somit werden Gesuche, mit denen nach einem Nichteintretensentscheid des Bundesverwaltungsgerichts wegen Nichtleistung oder nicht rechtzeitiger Leistung des erhobenen Kostenvorschusses das Vorliegen entschuldbarer Gründe geltend gemacht wird, welche die Partei an der rechtzeitigen Leistung des Kostenvorschusses gehindert hätten, im Verfahren gemäss Art. 24 Abs. 1 VwVG (Fristwiederherstellung) behandelt.</w:t>
      </w:r>
    </w:p>
    <w:p>
      <w:r>
        <w:rPr>
          <w:b/>
        </w:rPr>
        <w:t>E. 1.3</w:t>
      </w:r>
    </w:p>
    <w:p>
      <w:r>
        <w:t>Das Verfahren richtet sich nach dem VwVG, dem VGG und dem BGG, soweit das AsylG nichts anderes bestimmt (Art. 37 VGG und Art. 6 AsylG).</w:t>
      </w:r>
    </w:p>
    <w:p>
      <w:r>
        <w:rPr>
          <w:b/>
        </w:rPr>
        <w:t>E. 2</w:t>
      </w:r>
    </w:p>
    <w:p>
      <w:r>
        <w:t>Das Bundesverwaltungsgericht entscheidet in der Regel - wie auch hier - in der Besetzung mit drei Richterinnen oder Richtern (Art. 21 Abs. 1 VGG), da Fristwiederherstellungsgesuche im Sinne von Art. 24 Abs. 1 VwVG nicht unter die in Art. 111 AsylG auf dem Gebiet des Asylrechts dem Einzelrichter respektive der Einzelrichterin vorbehaltenen Zuständigkeiten fallen.</w:t>
      </w:r>
    </w:p>
    <w:p>
      <w:r>
        <w:rPr>
          <w:b/>
        </w:rPr>
        <w:t>E. 3.1</w:t>
      </w:r>
    </w:p>
    <w:p>
      <w:r>
        <w:t>Eine versäumte (gesetzliche oder behördliche) Frist wird wiederhergestellt, wenn der Gesuchsteller oder sein Vertreter unverschuldeterweise abgehalten worden ist, binnen Frist zu handeln, er unter Angabe des Grundes innert 30 Tagen nach Wegfall des Hindernisses darum ersucht und die versäumte Rechtshandlung nachholt (Art. 24 Abs. 1 VwVG).</w:t>
      </w:r>
    </w:p>
    <w:p>
      <w:r>
        <w:rPr>
          <w:b/>
        </w:rPr>
        <w:t>E. 3.2</w:t>
      </w:r>
    </w:p>
    <w:p>
      <w:r>
        <w:t>Der Gesuchsteller hat den Kostenvorschuss eingezahlt, womit die versäumte Rechtshandlung nachgeholt wurde. Die Frist von 30 Tagen ist ferner mit der Eingabe vom 21. Februar 2026 gewahrt, so dass die formellen Voraussetzungen von Art. 24 Abs. 1 VwVG erfüllt sind und auf das Fristwiederherstellungsgesuch einzutreten ist.</w:t>
      </w:r>
    </w:p>
    <w:p>
      <w:r>
        <w:rPr>
          <w:b/>
        </w:rPr>
        <w:t>E. 4.1</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(wie beispielsweise Naturkatastrophen, eine plötzliche schwerwiegende Erkrankung oder ein Unfall).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Christoph Auer/Markus Müller/Benjamin Schindler [Hrsg.], Kommentar zum Bundesgesetz über das Verwaltungsverfahren [VwVG], 2. Aufl. 2019, Art. 24 N. 19 ff.; Patricia Egli, a.a.O.; Urteil des BVGer F-3864/2020 vom 5. November 2020 E. 2.2, m.w.H.).</w:t>
      </w:r>
    </w:p>
    <w:p>
      <w:r>
        <w:rPr>
          <w:b/>
        </w:rPr>
        <w:t>E. 4.2</w:t>
      </w:r>
    </w:p>
    <w:p>
      <w:r>
        <w:t>Der Gesuchsteller macht geltend, dass ihm der Inhalt der Verfügung und somit die für die Zahlung angesetzte Nachfrist erst am 2. Februar 2026 zur Kenntnis gekommen sei, weshalb die Zahlungsfrist erst am 3. Februar zu laufen begonnen habe. Der Gesuchsteller verkennt dabei jedoch, dass eine Verfügung praxisgemäss als eröffnet gilt, wenn sie an der Adresse des Betroffenen einer empfangsberechtigten Person ausgehändigt wurde, was unbestrittenermassen am Freitag den 30. Januar 2026 erfolgte (vgl. BVGE 2009/55 E.5.2 mit weiteren Hinweisen). Weshalb der Gesuchsteller angeblich erst am folgenden Montag - und damit noch vor Ablauf der Zahlungsfrist - vom Inhalt der Verfügung Kenntnis nehmen konnte, legt er in keiner Weise dar, weshalb keine Hinweise auf ein relevantes Fehlverhalten der zuständigen Betreuungspersonen zu erkennen sind. Dies umso weniger, als es sich vorliegend bereits um eine Nachfrist handelte und damit der Gesuchsteller gehalten gewesen wäre, sich um seinen Posteingang zu kümmern. Ohnehin hätte der Beschwerdeführer jedoch nach Kenntnisnahme noch die Möglichkeit gehabt, innert Frist zu handeln. Dies hat er jedoch offenbar unterlassen in der Annahme, die Zahlungsfrist ende zu einem späteren Zeitpunkt. Diesbezüglich kann jedoch vorliegend auch nicht von einem entschuldbaren Irrtum ausgegangen werden, da der Gesuchsteller bei Beachtung der notwendigen prozessualen Sorgfalt, die von einer Partei im Rahmen eines Verwaltungsverfahrens erwartet werden darf, gehalten gewesen wäre, sich diesbezüglich das notwendige Wissen anzueignen. Damit ergeben sich keine Hinweise darauf, der Gesuchsteller könne sich in gutem Glauben auf den späteren Fristablauf berufen.</w:t>
      </w:r>
    </w:p>
    <w:p>
      <w:r>
        <w:rPr>
          <w:b/>
        </w:rPr>
        <w:t>E. 4.3</w:t>
      </w:r>
    </w:p>
    <w:p>
      <w:r>
        <w:t>Bei dieser Sachlage kann zusammenfassend nicht von einem unverschuldeten Versäumnis ausgegangen werden. Die materiellen Voraussetzungen für eine Wiederherstellung der Frist nach Art. 24 Abs. 1 VwVG sind somit nicht gegeben.</w:t>
      </w:r>
    </w:p>
    <w:p>
      <w:r>
        <w:rPr>
          <w:b/>
        </w:rPr>
        <w:t>E. 5</w:t>
      </w:r>
    </w:p>
    <w:p>
      <w:r>
        <w:t>Das Fristwiederherstellungsgesuch ist demnach abzuweisen und das Beschwerdeverfahren D-7271/2025 nicht wiederaufzunehmen.</w:t>
      </w:r>
    </w:p>
    <w:p>
      <w:r>
        <w:rPr>
          <w:b/>
        </w:rPr>
        <w:t>E. 6</w:t>
      </w:r>
    </w:p>
    <w:p>
      <w:r>
        <w:t>Bei diesem Ausgang des Verfahrens sind die Kosten dem Gesuchsteller aufzuerlegen (Art. 63 Abs. 1 VwVG). Bei wenig aufwändigen Verfahren kann die Gerichtsgebühr praxisgemäss herabgesetzt werden und ist vorliegend auf insgesamt Fr. 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