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D-1384/2024 vom 2. Februar 2024</w:t>
      </w:r>
    </w:p>
    <w:p>
      <w:r>
        <w:t>Bundesverwaltungsgericht, 2024-02-02, DE</w:t>
      </w:r>
    </w:p>
    <w:p>
      <w:r>
        <w:rPr>
          <w:b/>
        </w:rPr>
        <w:t xml:space="preserve">Quelle: </w:t>
      </w:r>
      <w:r>
        <w:t>https://mcp.opencaselaw.ch/entscheid/bvger_D-1384_2024_d20240202</w:t>
      </w:r>
    </w:p>
    <w:p>
      <w:r>
        <w:t>FR: TAF D-1384/2024 du 2 février 2024</w:t>
      </w:r>
    </w:p>
    <w:p>
      <w:r>
        <w:t>IT: TAF D-1384/2024 del 2 febbraio 2024</w:t>
      </w:r>
    </w:p>
    <w:p>
      <w:pPr>
        <w:pStyle w:val="Heading2"/>
      </w:pPr>
      <w:r>
        <w:t>Regeste</w:t>
      </w:r>
    </w:p>
    <w:p>
      <w:r>
        <w:t>Asyl und Wegweisung | Asyl und Wegweisung; Verfügung des SEM vom 2. Februar 2024</w:t>
      </w:r>
    </w:p>
    <w:p>
      <w:pPr>
        <w:pStyle w:val="Heading2"/>
      </w:pPr>
      <w:r>
        <w:t>Volltext</w:t>
      </w:r>
    </w:p>
    <w:p>
      <w:r>
        <w:t>Bundesverwal tungsgeri cht T ri bunal admi ni strati f fédéral T ri bunal e amm ini strati vo federal e T ri bunal admi ni strati v federal</w:t>
      </w:r>
    </w:p>
    <w:p>
      <w:r>
        <w:t>Abteilung IV D-1384/2024</w:t>
      </w:r>
    </w:p>
    <w:p>
      <w:r>
        <w:t>U r t e i l v o m 1 5 . A p r i l 2 0 2 4 Besetzung Einzelrichter Simon Thurnheer, mit Zustimmung von Richterin Giulia Marelli; Gerichtsschreiberin Leslie Werne. Parteien A._______, geboren am (…), Türkei, vertreten durch lic. iur. Urs Ebnöther, Rechtsanwalt, Advokatur Kanonengasse, (…), Beschwerdeführer,</w:t>
      </w:r>
    </w:p>
    <w:p>
      <w:r>
        <w:t>gegen Staatssekretariat für Migration (SEM), Quellenweg 6, 3003 Bern, Vorinstanz. Gegenstand Asyl und Wegweisung; Verfügung des SEM vom 2. Februar 2024 / N (…).</w:t>
      </w:r>
    </w:p>
    <w:p>
      <w:r>
        <w:t>D-1384/2024 Seite 2 Das Bundesverwaltungsgericht stellt fest, dass der Beschwerdeführer am 11. April 2023 in der Schweiz um Asyl nachsuchte, dass er am 21. November 2023 im Beisein seiner Rechtsvertretung zu sei- nen Gesuchsgründen angehört wurde, dass er geltend machte, er sei türkischer Staatsangehöriger kurdischer Ethnie und habe vor seiner Ausreise mit seiner Ehefrau und der gemein- samen Tochter in B._______ gelebt, wo er in der Baubranche tätig gewe- sen sei, dass er zur Begründung seines Asylgesuchs im Wesentlichen geltend machte, bis sein Motorrad durch die türkischen Behörden beschlagnahmt worden sei, habe er Waren für die PKK transportiert, dass er im März 2023 durch vermeintliche Polizisten kurzzeitig festgehal- ten worden sei und sie versucht hätten, ihn als Spion anzuwerben, was er jedoch abgelehnt habe, dass die Behörden anschliessend nach ihm gesucht hätten, dass er unter anderem ein eigenhändig verfasstes Schreiben an seine tür- kische Anwältin vom 24. März 2023 (in Kopie, inklusive Übersetzung), ei- ner an die Staatsanwaltschaft B._______ gerichtete Beschwerde vom 5. April 2023 (in Kopie, inklusive Übersetzung), einen Screenshot eines be- hördlichen Schreibens vom 10. April 2023 (in Kopie), zwei Zeitungsaus- schnitte (in Kopie, inklusive Übersetzung) sowie mehrere Schreiben seiner türkischen Anwältin (in Kopie, inklusive Übersetzung) zu den Akten reichte, dass der Beschwerdeführer mit Entscheid vom 28. November 2023 dem erweiterten Verfahren zugeteilt und am Folgetag dem Kanton C._______ zugewiesen wurde, dass das SEM mit Verfügung vom 2. Februar 2024 – tags darauf eröffnet – feststellte, der Beschwerdeführer erfülle die Flüchtlingseigenschaft nicht, sein Asylgesuch vom 11. April 2023 ablehnte und die Wegweisung aus der Schweiz sowie den Vollzug anordnete, dass der Beschwerdeführer durch den rubrizierten Rechtsvertreter mit Ein- gabe vom 4. März 2024 gegen diese Verfügung Beschwerde beim Bun- desverwaltungsgericht erhob und beantragte, die angefochtene Verfügung sei aufzuheben, seine Flüchtlingseigenschaft festzustellen und ihm Asyl zu gewähren,</w:t>
      </w:r>
    </w:p>
    <w:p>
      <w:r>
        <w:t>D-1384/2024 Seite 3 dass er eventualiter vorläufig aufzunehmen sei, dass die Sache subeventualiter an die Vorinstanz zurückzuweisen sei, dass er in prozessualer Hinsicht um Gewährung der unentgeltlichen Pro- zessführung inklusive Kostenvorschussverzicht und um unentgeltliche Rechtsverbeiständung ersuchte, zudem sei ihm Frist zur Beschwerde- verbesserung anzusetzen, dass er seine Beschwerde mit Eingabe vom 12. März 2024 unaufgefordert ergänzte, dass der Instruktionsrichter die Gesuche um Gewährung einer Nachfrist zur Beschwerdeergänzung, unentgeltliche Prozessführung und Rechtsver- beiständung mit Zwischenverfügung vom 20. März 2024 abwies und den Beschwerdeführer zur Bezahlung eines Kostenvorschusses aufforderte, dass der Beschwerdeführer den Kostenvorschuss am 3. April 2024 innert Frist leistete,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w:t>
      </w:r>
    </w:p>
    <w:p>
      <w:r>
        <w:t>D-1384/2024 Seite 4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 dass gestützt auf Art. 111a Abs. 1 AsylG auf einen Schriftenwechsel ver- zichtet wurde, dass in der Beschwerdeschrift unter anderem die Rückweisung an die Vorinstanz beantragt wird, der Beschwerdeführer seinen Antrag jedoch nicht ansatzweise begründet, dass denn der blosse Umstand, dass der Beschwerdeführer die Beurteilung seiner Vorbringen durch die Vorinstanz nicht teilt, die Frage der materiellen Würdigung beschlägt, dass mangels konkreter anderweitiger Hinweise von einem ausreichend erstellten, spruchreifen Sachverhalt auszugehen und das Rückweisungs- begehren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Glaubhaftigkeit nicht stand, wobei auf die zutreffenden Ausführungen der Vorinstanz zu verweisen ist, dass die Vorinstanz zutreffend feststellte, die Ausführungen des Beschwer- deführers zu seinem Engagement für die PKK seien wenig detailliert aus- gefallen (vgl. A27/14 F46 und F54 ff.), dass er seine Ausführungen zu seinen angeblichen Unterstützungsleistun- gen trotz konkreten Nachfragens auf substanzarme Beschreibungen be- schränkte (vgl. A27/14 F55 und F57),</w:t>
      </w:r>
    </w:p>
    <w:p>
      <w:r>
        <w:t>D-1384/2024 Seite 5 dass für sein Vorbringen betreffend die behauptete Anwerbung der türki- schen Behörden als Spion das Gleiche gilt, zumal auch seine diesbezügli- chen Ausführungen nicht auf ein persönliches Erleben schliessen lassen (vgl. A27/14 F46 und F115), dass die Vorinstanz ebenso zutreffend feststellte, angesichts der detail- armen Aussagen des Beschwerdeführers sei auch seine angebliche Ent- führung respektive das Festsetzen durch zivile Polizisten unglaubhaft (vgl. A27/14 F46 und F84 ff.), dass sich die vagen und stereotypischen Schilderungen des Beschwerde- führers entgegen der Beschwerde nicht mit einem allfälligen Sprach- bzw. Kommunikationsdefizit sowie einer verlangsamten Denkfähigkeit erklären lassen (vgl. Beschwerde S. 8), zumal es sich in Ermangelung entsprechen- der Belege dabei lediglich um eine Behauptung respektive Vermutung der Rechtsvertretung handelt, dass der Beschwerdeführer denn auch ausdrücklich zu Protokoll gab, er könne zu seinen Gesuchsgründen «alles sagen, was [er wolle]» (vgl. A27/14 F89), zudem verneinte er eine zu hohe Komplexität der ihm gestellten Fragen ebenso ausdrücklich (vgl. a.a.O. F90), dass denn auch die im erstinstanzlichen Verfahren zu den Akten gereichten Beweismittel mangels Fälschungssicherheit kaum Beweiswert aufweisen, zumal allgemein bekannt ist, dass solche Dokumente in der Türkei leicht käuflich erwerbbar sind, dass die Schreiben seiner türkischen Anwältin als reine Gefälligkeitsschrei- ben zu qualifizieren sind, dass der Umstand, dass der strafrechtlich unbescholtene Beschwerde- führer problemlos und legal auf dem Luftweg ausreisen konnte und das angebliche Strafverfahren gegen ihn erst eröffnet wurde, nachdem er den Heimatstaat verlassen hatte (vgl. A27/14 F36 und F106; Beschwerde S. 10), das Gericht – bei Wahrunterstellung – zudem vermuten lässt, er habe das Strafverfahren bewusst provoziert oder gar vorsätzlich eingelei- tet, um einen Schutzstatus in der Schweiz zu erlangen, dass denn auch sein Eingeständnis auf Beschwerdeebene, er habe meh- rere zu den geltend gemachten Ereignissen veröffentlichte Zeitungsartikel lanciert und werde in diesen namentlich genannt (vgl. Beschwerde S. 5), diese Einschätzung bestätigt, dass auch eine Reflexverfolgung aufgrund der hierzulande lebenden (an- geblichen) Verwandten des Beschwerdeführers zu verneinen ist, zumal er</w:t>
      </w:r>
    </w:p>
    <w:p>
      <w:r>
        <w:t>D-1384/2024 Seite 6 – abgesehen von einem angeblich beschlagnahmten Motorrad, welches auf zwei seiner Verwandten zugelassen gewesen sei (vgl. Beschwerde S. 4) – nicht geltend macht, aufgrund der Vorgenannten konkrete Prob- leme mit den Behörden gehabt zu haben,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D-3489/2023 vom 28. November 2023 E. 9.4.1 m.w.H.),</w:t>
      </w:r>
    </w:p>
    <w:p>
      <w:r>
        <w:t>D-1384/2024 Seite 7 dass der Beschwerdeführer mittleren Alters über Wohneigentum im Hei- matstaat, vielseitige Berufserfahrung auf dem Bau sowie ein grosses fami- liäres Beziehungsnetz in der Türkei – unter anderem seine Ehefrau und das gemeinsame Kind – verfügt (vgl. A27/14 F14 ff., F21, und F23 f.), dass auch der Gesundheitszustand des Beschwerdeführers dem Vollzug der Wegweisung generell nicht entgegensteht, nachdem sich den Akten kein akuter Behandlungsbedarf seiner im Rahmen der Anhörung geltend gemachten Beschwerden (Bluthochdruck, Gastritis und Augenprobleme; vgl. A27/14 F42) entnehmen lässt und er sich im Bedarfsfall (erneut) im Heimatstaat medizinisch behandeln lassen kann,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w:t>
      </w:r>
    </w:p>
    <w:p>
      <w:r>
        <w:t>D-1384/2024 Seite 8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