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D-1384/2007 vom 17. November 2010</w:t>
      </w:r>
    </w:p>
    <w:p>
      <w:r>
        <w:t>Bundesverwaltungsgericht, 2010-11-17, DE</w:t>
      </w:r>
    </w:p>
    <w:p>
      <w:r>
        <w:rPr>
          <w:b/>
        </w:rPr>
        <w:t xml:space="preserve">Quelle: </w:t>
      </w:r>
      <w:r>
        <w:t>https://mcp.opencaselaw.ch/entscheid/bvger_D-1384_2007</w:t>
      </w:r>
    </w:p>
    <w:p>
      <w:r>
        <w:t>FR: TAF D-1384/2007 du 17 novembre 2010</w:t>
      </w:r>
    </w:p>
    <w:p>
      <w:r>
        <w:t>IT: TAF D-1384/2007 del 17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sowie Art. 48 Abs. 1, Art. 50 und Art. 52 VwVG). Auf die Beschwerde ist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wird eingewendet, die ARK habe in einem Grundsatzentscheid vom 8. Juni 2006 festgehalten, dass im Sinne der europäischen Rechtsprechung eine ernsthafte Verfolgung und eine Bedrohung an Leib und Leben auch von nichtstaatlicher Seite zur Asylgewährung führen könne. Von der jetzigen sehr fragilen Regierung in Afghanistan würde der Beschwerdeführer keinen Schutz erhalten. Auch könnte er nicht in eine andere Region in Afghanistan zurückkehren (vgl. Beschwerde, S. 3).</w:t>
      </w:r>
    </w:p>
    <w:p>
      <w:r>
        <w:rPr>
          <w:b/>
        </w:rPr>
        <w:t>E. 4.1.1</w:t>
      </w:r>
    </w:p>
    <w:p>
      <w:r>
        <w:t>Es trifft zu, dass die schweizerische Asylpraxis zur flüchtlingsrechtlichen Relevanz nichtstaatlicher Verfolgung mit dem in Entscheidungen und Mitteilungen der Schweizerischen Asylrekurskommission [EMARK] 2006 Nr. 18 veröffentlichten Urteil von der Zurechenbarkeitstheorie - wonach die von einer asylsuchenden Person erlittenen Nachteile ihrem Heimat- oder Herkunftsstaat unmittelbar oder mittelbar in einer Weise zugerechnet werden konnten, wenn dieser dafür zumindest mitverantwortlich erschien - zur Schutztheorie übergegangen ist. Aufgrund der damit verbundenen grundsätzlichen Anerkennung der flüchtlingsrechtlichen Relevanz nichtstaatlicher Verfolgung kann die Flüchtlingseigenschaft nicht mit der Begründung verweigert werden, Übergriffe durch Drittpersonen könnten nicht dem Staat zugerechnet werden; bei Bejahung solcher Nachteile seitens von Drittpersonen ist vielmehr zu prüfen, ob der Betroffene auf dem Gebiet seines Heimatsstaats Schutz vor dieser Art von Verfolgung finden kann. Nach der Schutztheorie hängt die flüchtlingsrechtliche Relevanz einer Verfolgung somit nicht von der Frage ihres Urhebers, sondern vom Vorhandensein eines adäquaten Schutzes durch den Heimatstaat oder unter gewissen Umständen durch einen so genannten Quasi-Staat ab, und in diesem Sinne kommt auch der Unterscheidung zwischen Schutzunwilligkeit und -unfähigkeit des Heimatstaats (beziehungsweise allenfalls eines Quasi-Staats) grundsätzlich keine entscheidende Bedeutung mehr zu. Nach der Schutztheorie ist nichtstaatliche Verfolgung flüchtlingsrechtlich relevant, sofern der Heimatstaat beziehungsweise allenfalls ein Quasi-Staat nicht in der Lage oder nicht willens ist, adäquaten Schutz vor Verfolgung zu bieten. Diese Einschätzung ist auch vom Bundesverwaltungsgericht zu beachten.</w:t>
      </w:r>
    </w:p>
    <w:p>
      <w:r>
        <w:rPr>
          <w:b/>
        </w:rPr>
        <w:t>E. 4.1.2</w:t>
      </w:r>
    </w:p>
    <w:p>
      <w:r>
        <w:t>Auch nach der Schutztheorie ist indes für die Anerkennung der Flüchtlingseigenschaft insbesondere erforderlich, dass die asylsuchende Person ernsthafte Nachteile in bestimmter Intensität erlitten hat beziehungsweise im Fall einer Rückkehr ins Heimatland solche mit beachtlicher Wahrscheinlichkeit und in absehbarer Zukunft befürchten muss. Diese Nachteile müssen der asylsuchenden Person gezielt und aufgrund bestimmter Verfolgungsmotive zugefügt worden sein. Diese sind in Art. 3 Abs. 1 AsylG abschliessend aufgezählt (vgl. vorstehend E. 3.1). Den protokollierten Aussagen des Beschwerdeführers ist einzig zu entnehmen, dass dessen Vater wegen Ländereien Schwierigkeiten mit einem Cousin hatte und deswegen zusammen mit der Familie nach Pakistan zog (vgl. A1/10 S. 4, A49/19 S. 13). Demnach ist von einer privatrechtlichen Streitigkeit zwischen zwei Familienangehörigen auszugehen und eine flüchtlingsrelevante Verfolgung des Beschwerdeführers wegen seiner Rasse, Religion, Nationalität, Zugehörigkeit zu einer bestimmten sozialen Gruppe oder wegen seiner politischen Anschauungen auszuschliessen. Mithin ist die vom Beschwerdeführer aus nichtstaatlicher Verfolgung abgeleitete Flüchtlingseigenschaft bereits mangels asylrechtlich relevanten Umständen zu verneinen. Nach dem Gesagten können die Fragen der Schutzfähigkeit der afghanischen Behörden und der innerstaatlichen Fluchtalternative mithin offengelassen werden.</w:t>
      </w:r>
    </w:p>
    <w:p>
      <w:r>
        <w:rPr>
          <w:b/>
        </w:rPr>
        <w:t>E. 4.2</w:t>
      </w:r>
    </w:p>
    <w:p>
      <w:r>
        <w:t>Der Beschwerdeführer wendet weiter ein, der familiäre Streit um die Ländereien sei nicht abgeschlossen. Der Beschwerdeführer habe vernommen, dass seine Familienangehörigen nach Afghanistan zurückgekehrt seien, habe aber keinen Kontakt zu ihnen, wisse nicht, wo in Afghanistan sie sich aufhielten und ob sie überhaupt noch dort seien. Er könne nicht in seinen Heimatstaat zurückkehren, weil er dort privater Verfolgung ausgesetzt wäre (vgl. Beschwerde, S. 3).</w:t>
      </w:r>
    </w:p>
    <w:p>
      <w:r>
        <w:rPr>
          <w:b/>
        </w:rPr>
        <w:t>E. 4.2.1</w:t>
      </w:r>
    </w:p>
    <w:p>
      <w:r>
        <w:t>Zum einen stehen diese Ausführungen in der Rechtsmitteleingabe in Widerspruch zur Aussage des Beschwerdeführers, wonach dessen Familie in das Herkunftsdorf in Afghanistan zurückgekehrt sei, und zwar wegen der gefährlichen Lage in Pakistan (vgl. A49/19, S. 2 f.).</w:t>
      </w:r>
    </w:p>
    <w:p>
      <w:r>
        <w:rPr>
          <w:b/>
        </w:rPr>
        <w:t>E. 4.2.2</w:t>
      </w:r>
    </w:p>
    <w:p>
      <w:r>
        <w:t>Zum andern ist für die Beurteilung der Flüchtlingseigenschaft die Situation zum Zeitpunkt des Asylentscheides massgebend. Dabei ist einerseits die Frage nach der zum Zeitpunkt der Ausreise aktuell vorhandenen Furcht zu stellen und andererseits zu prüfen, ob die Furcht vor einer absehbaren Verfolgung (noch) begründet ist. So sind Veränderungen der objektiven Situation im Heimatstaat zwischen Ausreise und Asylentscheid zugunsten und zulasten des Gesuchstellers zu berücksichtigen (vgl. BVGE 2008/4 E. 5.4 S. 38 f.).</w:t>
      </w:r>
    </w:p>
    <w:p>
      <w:r>
        <w:rPr>
          <w:b/>
        </w:rPr>
        <w:t>E. 4.2.3</w:t>
      </w:r>
    </w:p>
    <w:p>
      <w:r>
        <w:t>Vorliegend kann die Frage nach der zum Zeitpunkt der Ausreise aktuell vorhandenen Furcht des Beschwerdeführers vor asylrelevanter Verfolgung offen gelassen werden. So ist zum heutigen Zeitpunkt, selbst wenn eine begründete Furcht des Beschwerdeführers vor asylrelevanter Verfolgung bei der Ausreise aus Afghanistan zu bejahen gewesen wäre, eine solche - abgesehen von den oben genannten Gründen - auch aufgrund des Umstands der Rückkehr der Familie in den Heimatstaat zu verneinen, ist doch auch in Berücksichtigung der geltend gemachten Verschlechterung der Lage in Pakistan nicht davon auszugehen, dass die Familienangehörigen - falls ihnen dort noch eine ernsthafte Gefahr drohen sollte - ausgerechnet an den Ort der geltend gemachten Verfolgung in Afghanistan zurückgekehrt wären.</w:t>
      </w:r>
    </w:p>
    <w:p>
      <w:r>
        <w:rPr>
          <w:b/>
        </w:rPr>
        <w:t>E. 4.3</w:t>
      </w:r>
    </w:p>
    <w:p>
      <w:r>
        <w:t>Nach dem Gesagten ist es dem Beschwerdeführer nicht gelungen, eine aktuelle Gefährdung aus asylrechtlich relevanten Motiven aufzuzeigen. Aufgrund der vorstehenden Erwägungen erübrigt es sich, auf die weiteren Vorbringen in der Beschwerde und der zu den Akten gereichten Beweismittel einzugehen, da diese am Ergebnis nichts zu ändern vermögen. Das Asylgesuch wurde vom BFM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ff.).</w:t>
      </w:r>
    </w:p>
    <w:p>
      <w:r>
        <w:rPr>
          <w:b/>
        </w:rPr>
        <w:t>E. 6.3</w:t>
      </w:r>
    </w:p>
    <w:p>
      <w:r>
        <w:t>Weil sich vorliegend der Vollzug der Wegweisung aus den nachfolgend aufgezeigten Gründen als unzumutbar erweist, ist auf eine Erörterung der beiden anderen Kriterien zu verzichten.</w:t>
      </w:r>
    </w:p>
    <w:p>
      <w:r>
        <w:rPr>
          <w:b/>
        </w:rPr>
        <w:t>E. 7.1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w:t>
      </w:r>
    </w:p>
    <w:p>
      <w:r>
        <w:t>Die allgemeine Sicherheitslage hat sich in Afghanistan in den letzten Jahren kontinuierlich verschlechtert. In den östlichen, südlichen und südöstlichen Provinzen besteht nach wie vor eine Situation allgemeiner Gewalt, weshalb der Wegweisungsvollzug dorthin weiterhin als unzumutbar zu betrachten ist (vgl. EMARK 2006 Nr. 9 E. 7.8).</w:t>
      </w:r>
    </w:p>
    <w:p>
      <w:r>
        <w:rPr>
          <w:b/>
        </w:rPr>
        <w:t>E. 7.2.1</w:t>
      </w:r>
    </w:p>
    <w:p>
      <w:r>
        <w:t>Das BFM hat nicht in Zweifel gezogen, dass der Beschwerdeführer der Ethnie der Hazara angehört und er aus dem Ort (...) (Bezirk (...)) in der Provinz Ghazni stammt. Der Herkunftsort des Beschwerdeführers befindet sich mithin in einer der Provinzen, in welche der Wegweisungsvollzug als unzumutbar zu erachten ist. An dieser Einschätzung vermögen auch die Ausführungen des BFM, wonach nach übereinstimmender aktueller Einschätzung aus Expertenkreisen das Hazarajat im innerafghanischen Vergleich zu den sichereren Regionen des Landes gehöre, nichts zu ändern. Hierzu ist festzuhalten, dass das BFM weder in der angefochtenen Verfügung noch in der Vernehmlassung offen legt, gestützt auf welche Quellen oder Experten es zu seiner Schlussfolgerung gelangte. Demgegenüber stützte sich die Schweizerische Asylrekurskommission bei ihrer Beurteilung der Lage in Afghanistan auf zahlreiche, öffentlich zugängliche Quellen (vgl. EMARK 2006 Nr. 9 E. 7.3 S. 98).</w:t>
      </w:r>
    </w:p>
    <w:p>
      <w:r>
        <w:rPr>
          <w:b/>
        </w:rPr>
        <w:t>E. 7.2.2</w:t>
      </w:r>
    </w:p>
    <w:p>
      <w:r>
        <w:t>Zwar gab der Beschwerdeführer anlässlich der kantonalen Befragung zu Protokoll, seine Familie sei Ende 2005/Anfang 2006 von Pakistan nach Afghanistan zurückgekehrt, wobei sie jedoch wiederum an ihren Herkunftsort - mithin die Provinz Ghazni, wohin ein Vollzug der Wegweisung nach wie vor als unzumutbar einzustufen gilt - disloziert sei. Zudem wisse er nicht, wie sie ihren Lebensunterhalt bestreiten würde; im Übrigen lebten auch die weiteren Verwandten - zwei Cousins väterlicherseits und eine Tante - an einem ihm nicht genau bekannten Ort in der Provinz (...) (vgl. A49/19 S. 2f.). Der Beschwerdeführer seinerseits hat Afghanistan eigenen Angaben zufolge im Alter von einem bis zwei Jahren verlassen und sich in der Folge ununterbrochen in Pakistan aufgehalten, bevor er nach einer mehrmonatigen Reise über verschiedene Länder in die Schweiz gelangte (vgl. A1/10 S. 1 und 6, A49/19 S. 3). Aus den Akten ergeben sich keine Hinweise darauf, dass er über Kontakte und Beziehungen zu Personen ausserhalb seiner Heimatprovinz verfügt. Es kann daher nicht ernsthaft in Betracht gezogen werden, dass mutmasslich irgendwo im Land weitere Verwandte oder andere Bezugspersonen leben, die dem Beschwerdeführer eine gesicherte Existenzgrundlage bieten oder ihm bei deren Aufbau behilflich sein könnten.</w:t>
      </w:r>
    </w:p>
    <w:p>
      <w:r>
        <w:rPr>
          <w:b/>
        </w:rPr>
        <w:t>E. 7.3</w:t>
      </w:r>
    </w:p>
    <w:p>
      <w:r>
        <w:t>Der Vollzug der Wegweisung nach Afghanistan erweist sich nach dem Gesagten als unzumutbar im Sinne von Art. 83 Abs. 4 AuG. Sodann kann im vorliegenden Fall eine Prüfung des Vollzugs nach Pakistan durch die Rechtsmittelinstanz nicht vorgenommen werden, da das BFM einen Vollzug der Wegweisung dorthin - auch nicht ansatzweise - gar nicht geprüft hat. Nachdem sich aus den Akten keine Hinweise auf das Vorliegen von Ausschlussgründen im Sinne von Art. 83 Abs. 7 AuG ergeben, sind die Voraussetzungen für die Anordnung der vorläufigen Aufnahme erfüllt.</w:t>
      </w:r>
    </w:p>
    <w:p>
      <w:r>
        <w:rPr>
          <w:b/>
        </w:rPr>
        <w:t>E. 8</w:t>
      </w:r>
    </w:p>
    <w:p>
      <w:r>
        <w:t>Aus diesen Erwägungen ergibt sich, dass die angefochtene Verfügung Bundesrecht verletzt. Die Beschwerde ist nach dem Gesagten gutzuheissen, soweit sie die Frage des Wegweisungsvollzugs betrifft. Im Übrigen ist sie abzuweisen. Die Ziffern 4 und 5 des Dispositivs der Verfügung des BFM vom 19. Januar 2007 sind aufzuheben, und die Vorinstanz ist anzuweisen, den Beschwerdeführer in der Schweiz wegen gegenwärtiger Unzumutbarkeit des Wegweisungsvollzugs vorläufig aufzunehmen.</w:t>
      </w:r>
    </w:p>
    <w:p>
      <w:r>
        <w:rPr>
          <w:b/>
        </w:rPr>
        <w:t>E. 9.1</w:t>
      </w:r>
    </w:p>
    <w:p>
      <w:r>
        <w:t>Im Hinblick auf die Kostenliquidation ist der Ausgang des Verfahrens im Asylpunkt als teilweises Unterliegen (vgl. Art. 63 Abs. 1, Satz 2 VwVG) zu werten, wobei das Bundesverwaltungsgericht nach seiner Praxis im Asylbeschwerdeverfahren bei Konstellationen wie der vorliegenden den partiellen Misserfolg mit der Hälfte veranschlagt. Dem Ausgang des Verfahrens entsprechend wären die Kosten des Verfahrens dem Beschwerdeführer somit in ermässigtem Umfang aufzuerlegen (Art. 63 Abs. VwVG). Nachdem sich die Beschwerde jedoch zum Zeitpunkt ihrer Anhängigmachung nicht als aussichtslos erwiesen hat und aufgrund der Aktenlage nach wie vor von der prozessualen Bedürftigkeit des Beschwerdeführers auszugehen ist, ist das Gesuch um Gewährung der unentgeltlichen Prozessführung (Art. 65 Abs. 1 VwVG) gutzuheissen und auf die Auferlegung von Verfahrenskosten zu verzichten.</w:t>
      </w:r>
    </w:p>
    <w:p>
      <w:r>
        <w:rPr>
          <w:b/>
        </w:rPr>
        <w:t>E. 9.2</w:t>
      </w:r>
    </w:p>
    <w:p>
      <w:r>
        <w:t>Ganz oder teilweise obsiegende Parteien haben Anspruch auf eine Parteientschädigung für die ihnen erwachsenen notwendigen Kosten (Art. 64 Abs. 1 VwVG; Art. 7 Abs. 1 des Reglements vom 21. Februar 2008 über die Kosten und Entschädigungen vor dem Bundesverwaltungsgericht [VGKE, SR 173.320.2]). Beim vorliegenden Verfahrensausgang ist der Beschwerdeführer mit seinen Rechtsbegehren teilweise durchgedrungen, und das Bundesverwaltungsgericht geht in diesem Fall praxisgemäss von einem hälftigen Obsiegen aus. Angesichts dessen ist dem Beschwerdeführer im Beschwerdeverfahren für diesen (einen) Teil in Anwendung von Art. 64 Abs. 1 VwVG i.V.m. Art. 37 VGG für die Kosten der Vertretung und allfälligen weiteren notwendigen Auslagen eine reduzierte Parteientschädigung zuzusprechen (Art. 7 VGKE). Nachdem keine Kostennote zu den Akten gereicht worden ist und sich der notwendige Vertretungsaufwand aufgrund der Aktenlage hinreichend zuverlässig abschätzen lässt, ist die von der Vorinstanz auszurichtende, um die Hälfte reduzierte Parteientschädigung unter Berücksichtigung der massgebenden Berechnungsfaktoren von Amtes wegen auf Fr. 500.- (inklusive allfällige Auslagen und Mehrwertsteuer)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