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D-1382/2012 vom 28. August 2013</w:t>
      </w:r>
    </w:p>
    <w:p>
      <w:r>
        <w:t>Bundesverwaltungsgericht, 2013-08-28, DE</w:t>
      </w:r>
    </w:p>
    <w:p>
      <w:r>
        <w:rPr>
          <w:b/>
        </w:rPr>
        <w:t xml:space="preserve">Quelle: </w:t>
      </w:r>
      <w:r>
        <w:t>https://mcp.opencaselaw.ch/entscheid/bvger_D-1382_2012</w:t>
      </w:r>
    </w:p>
    <w:p>
      <w:r>
        <w:t>FR: TAF D-1382/2012 du 28 août 2013</w:t>
      </w:r>
    </w:p>
    <w:p>
      <w:r>
        <w:t>IT: TAF D-1382/2012 del 28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Nachfolgend sind die formellen Rügen vorab zu prüfen, da diese - auch wenn nicht explizit beantragt - gegebenenfalls zur Kassation der vorinstanzlichen Verfügung führen können. Der Beschwerdeführer macht inso­weit Gehörsverletzungen geltend, als die Sachverhaltsfeststellung unge­nügend sei, da das BFM nicht geprüft habe, ob es in den Jahren seit der Einreise in die Schweiz im Jahr 2007 zu Verfolgung gegen ihn respek­tive seine vor Ort lebenden Verwandten gekommen sei. Zudem habe die Vorinstanz es unterlassen zu berücksichtigen, dass die Behör­den in der Vergangenheit aufgrund der Erschiessung seines Vaters bezie­hungsweise aufgrund dessen vermuteter LTTE-Unterstützung den Be­schwerdeführer gezielt befragt, misshandelt und gefoltert hätten.</w:t>
      </w:r>
    </w:p>
    <w:p>
      <w:r>
        <w:rPr>
          <w:b/>
        </w:rPr>
        <w:t>E. 3.2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 Markus Müller/ Benjamin Schind­ler, VwVG, Kommentar zum Bundesgesetz über das Verwaltungs­verfahren, Zürich/St. Gallen 2008, Rz. 28 zu Art. 49, S. 676 f.). Ihre Grenze findet die Untersuchungspflicht allerdings in der Mitwirkungs­pflicht des Asylsuchenden (vgl. Art. 8 AsylG).</w:t>
      </w:r>
    </w:p>
    <w:p>
      <w:r>
        <w:rPr>
          <w:b/>
        </w:rPr>
        <w:t>E. 3.3</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Lorenz Kneubühler in: Kom­mentar zum Bundesgesetz über das Verwaltungsverfahren [VwVG], Auer/Müller/Schindler [Hrsg.], Zürich 2008, N. 6 ff. zu Art. 35; BVGE 2007/30 E. 5.6)</w:t>
      </w:r>
    </w:p>
    <w:p>
      <w:r>
        <w:rPr>
          <w:b/>
        </w:rPr>
        <w:t>E. 3.4</w:t>
      </w:r>
    </w:p>
    <w:p>
      <w:r>
        <w:t>Der Beschwerdeführer wurde anlässlich der Summarbefragung und der Anhörung auf seine Mitwirkungspflicht hingewiesen (A 1/12 S. 2; A 11/18 S. 2). Entsprechend war die Vorinstanz auch in Berücksichtigung sei­nes langen Aufenthalts in der Schweiz im Rahmen der Untersuchungs­maxime nicht gehalten, sich bei ihm vor Entscheidfällung nach zwischenzeit­lich eingetretenen individuell-konkreten Ereignissen zu erkundi­gen, da er diese naheliegenderweise von sich aus hätte geltend ma­chen können beziehungsweise müssen. Ferner erachtet das BFM das Persönlichkeitsprofil des Beschwerdeführers im aktuellen Zeitpunkt nicht als hinreichend exponiert für eine noch drohende Verfolgung vor Ort. Im Sachverhalt erwähnte es dabei sowohl die Erschiessung seines Vaters wie auch die geltend gemachte Verfolgung wegen erzwungener LTTE-Hilfe. Dass diese Sachverhaltselemente durch die Vorinstanz nicht berück­sichtigt worden wären, kann den Akten demnach nicht entnommen werden, weshalb keine Verletzungen der erwähnten Verfahrensgarantien vorliegen.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4.2.1</w:t>
      </w:r>
    </w:p>
    <w:p>
      <w:r>
        <w:t>Die Bundesversammlung hat in der dringlichen Änderung des Asylge­setzes vom 28. September 2012 (in Kraft getreten am 29. September 2012) neu den Art. 3 Abs. 3 AsylG eingeführt, wonach Perso­nen, die wegen Wehrdienstverweigerung oder Desertion ernsthaf­ten Nachteilen ausgesetzt sind oder begründete Furcht haben, solchen Nachteilen ausgesetzt zu werden, keine Flüchtlinge sind. Vorbehalten bleibe das Abkommen vom 28. Juli 1951 über die Rechtsstellung der Flücht­linge (FK, SR 0.142.30). Bei den am 29. September 2012 hängigen Verfahren stellt sich deshalb die Frage der intertemporalen Geltung die­ser neuen Gesetzesbestimmung. Demnach ist Art. 3 Abs. 3 AsylG in Be­schwerde­ver­fahren bezüglich Verfügungen, die das BFM vor dem Zeit­punkt des Inkrafttretens der Norm am 29. September 2012 erliess, nicht an­zuwenden. Hingegen findet die neue gesetzliche Bestimmung in jenen Fällen Anwendung, die seit dem 29. September 2012 vom BFM entschie­den wurden beziehungsweise werden (vgl. BVGE D-5699/2011 vom 1. Mai 2013 E. 3.2 [zur Publikation vorgesehen]).</w:t>
      </w:r>
    </w:p>
    <w:p>
      <w:r>
        <w:rPr>
          <w:b/>
        </w:rPr>
        <w:t>E. 4.2.2</w:t>
      </w:r>
    </w:p>
    <w:p>
      <w:r>
        <w:t>Nach dem Gesagten kommt Art. 3 Abs. 3 AsylG vorliegend nicht zur Anwendung.</w:t>
      </w:r>
    </w:p>
    <w:p>
      <w:r>
        <w:rPr>
          <w:b/>
        </w:rPr>
        <w:t>E. 4.3</w:t>
      </w:r>
    </w:p>
    <w:p>
      <w:r>
        <w:t>Wer um Asyl nachsucht, muss die Flüchtlingseigenschaft nachweisen oder zumindest glaubhaft machen (Art. 7 Abs. 1 AsylG). Vorbringen sind gemäss Praxis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4.4</w:t>
      </w:r>
    </w:p>
    <w:p>
      <w:r>
        <w:t>Entsprechend der Lehre und Praxis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drohen oder zugefügt worden sein. Nach neuerer Recht­sprechung kann eine Verfolgungshandlung im Sinne von Art. 3 AsylG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w:t>
      </w:r>
    </w:p>
    <w:p>
      <w:r>
        <w:rPr>
          <w:b/>
        </w:rPr>
        <w:t>E. 5.1</w:t>
      </w:r>
    </w:p>
    <w:p>
      <w:r>
        <w:t>Seit Mai 2009 ist, gemäss weitgehend übereinstimmenden Berichten, insgesamt von einer seit Beendigung des militärischen Konflikts zwischen der sri-lankischen Armee und den LTTE erheblich verbesserten Lage in Sri Lanka auszugehen. Militärisch gelten die LTTE als vernichtet; es gibt keine Anzeichen, dass sie heute noch in der Lage wären, Angriffe auf die Si­cherheitskräfte oder sonstige Attentate auszuführen. Die Sicherheits­lage hat sich in bedeutsamer Weise stabilisiert, auch wenn sich das Land immer noch in einem Entwicklungsprozess befindet. Die Menschenrechts­lage hat sich jedoch gleichzeitig namentlich hinsichtlich der Meinungsäusserungs- und der Pressefreiheit weiter verschlechtert. Poli­tisch Oppositionelle jeglicher Couleur werden seitens der Regierung als Staatsfeinde betrachtet und müssen mit entsprechenden Verfolgungs­massnahmen rechnen (vgl. BVGE 2011/24 E. 7.6). Aus diesem Grunde defi­nierte das Bundesverwaltungsgericht im Grundsatzurteil BVGE 2011/24 - im Sinne von Risikogruppen - Personenkreise, deren Zugehö­rige einer erhöhten Verfolgungsgefahr unterliegen. Zu diesen Risikogrup­pen gehören namentlich (1) Personen, die auch nach Beendigung des Bür­gerkriegs verdächtigt werden, mit den LTTE in Verbindung zu stehen be­ziehungsweise gestanden zu sein, (2) kritisch auftretende Journalisten und Medienschaffende, (3) Menschenrechtsaktivisten und regimekritische Nichtregierungsorganisationen-Vertreter, ferner (4) Personen, die Opfer oder Zeuge schwerer Menschenrechtsverstösse wurden oder diesbezüg­lich juristische Schritte einleiten, sowie (5) Rückkehrer aus der Schweiz, de­nen nahe Kon­takte zu den LTTE unterstellt werden beziehungs­weise die über beträchtliche finanzielle Mittel verfügen (BVGE 2011/24 E. 8). Inner­halb der Risikogruppen muss im Einzelfall untersucht werden, ob die individuellen Begebenheiten eine asylrelevante Verfolgungsgefahr zu be­gründen vermögen. Namentlich bildet nach Auffassung des Bundesverwal­tungsgerichts der Umstand allein, dass ein Angehöriger der tamilischen Ethnie im Zeitraum vor dem Ende des Bürgerkriegs mit den LTTE in Kontakt kam, kein ausreichendes Kriterium für eine asylrechtlich re­levante Gefährdung. (Auch) zum heutigen Zeitpunkt ist aufgrund der in den ehemals von den LTTE kontrollierten Gebieten von dieser Organisa­tion aufgebauten Strukturen davon auszugehen, dass praktisch die ge­samte dortige Bevölkerung in bestimmter Weise entsprechende Kontakte aufwies. Die Wahrscheinlichkeit eines konkreten Verfolgungsrisikos setzt vielmehr ein entsprechendes besonderes Profil der betreffenden Person vor­aus (vgl. beispielsweise Urteil des Bundesverwaltungsgerichts E-1858/2012 vom 24. Januar 2013 E. 6.2). Diese Lageeinschätzung des Grundsatzurteils BVGE 2011/24 des Bundesverwaltungsgerichts ist im Wesentlichen weiter­hin zutreffend und wird in der jüngsten Einschätzung des UNHCR und in weiteren Berichten betreffend die politische und menschenrechtli­che Lage in Sri Lanka bestätigt (vgl. UNHCR: Eligibility Guidelines for Asses­sing the International Protection Needs of Asylum Seekers from Sri Lanka, 21. Dezember 2012;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Aktuelle Situation für aus dem Norden oder Osten stammende TamilInnen in Colombo und für RückkehrerInnen nach Sri Lanka, Bern 2011 sowie Urteil des Bun­desverwaltungsgerichts E-2625/2011 vom 22. Januar 2013 E.5.5.3). Auch im neusten Bericht der SFH wird klar zum Ausdruck gebracht, es gebe keine Hinweise, dass sämtliche Rückkehrende systematisch ent­führt, verhaftet oder gefoltert werden würden (SFH, Aktuelle Situation, Bern, 15. November 2012, S. 20ff.). Somit kann davon ausgegangen wer­den, dass, auch nach Konsultation jüngerer Quellen bezüglich der Einschätzung der Lage in Sri Lanka, rückkehrenden Tamilen gemäss der nach wie vor gelten­den Rechtsprechung nicht in genereller Weise unmenschliche Be­handlung droht (vgl. BVGE 2011/24 E. 10.4.2).</w:t>
      </w:r>
    </w:p>
    <w:p>
      <w:r>
        <w:rPr>
          <w:b/>
        </w:rPr>
        <w:t>E. 5.2</w:t>
      </w:r>
    </w:p>
    <w:p>
      <w:r>
        <w:t>Mit der Gefährdungssituation, jedoch im Hinblick auf eine EMRK-wid­rige Behandlung namentlich für Tamilen, die aus einem europäischen Land nach Sri Lanka zurückkehren müssen, hat sich auch der Europäi­sche Gerichtshof für Menschenrechte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vor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(vgl. BVGE 2011/24 E. 10.4.2).</w:t>
      </w:r>
    </w:p>
    <w:p>
      <w:r>
        <w:rPr>
          <w:b/>
        </w:rPr>
        <w:t>E. 5.3.1</w:t>
      </w:r>
    </w:p>
    <w:p>
      <w:r>
        <w:t>Der Beschwerdeführer macht im Wesentlichen geltend, zwei ver­schiedenen Risikogruppen anzugehören. Zum einen werde er verdäch­tigt, in Verbindung zu den LTTE zu stehen; zum anderen sei er Zeuge und Opfer schwerer Menschenrechtsverstösse. Seine Gefährdung werde durch den langjährigen Aufenthalt in der Schweiz akzentuiert.</w:t>
      </w:r>
    </w:p>
    <w:p>
      <w:r>
        <w:rPr>
          <w:b/>
        </w:rPr>
        <w:t>E. 5.3.2</w:t>
      </w:r>
    </w:p>
    <w:p>
      <w:r>
        <w:t>Der Beschwerdeführer wurde gemäss eigenen Angaben im Rah­men einer fünftägigen Haft im Jahre 2006 Opfer von physischer Gewalt. Dieser einmalige, wenn auch gravierende Eingriff im Anschluss an eine Razzia verleiht ihm indes noch nicht ein Profil, gemäss welchem er von den sri-lankischen Behörden mit beachtlicher Wahrscheinlichkeit als Zeuge und Opfer im obenerwähnten Sinne verbunden mit der Möglichkeit, das Regime in diesem Zusammenhang unter Druck zu setzen, qualifiziert würde. Zudem soll er dank der Fürsprache seiner Mutter und dem Hinweis auf seinen gehbehinderten Bruder ohne weitere Auflagen aus der besagten Haft entlassen worden sein. In der Folge verblieb der Beschwerdeführer noch monatelang in seiner Heimatregion. Zwar habe er nicht mehr regelmässig zu Hause übernachtet, habe sich jedoch tagsüber stets dort aufgehalten, um seinen gehbehinderten Bruder zu pflegen. Hätten gegen den Beschwerdeführer ernsthafte Verdachtsmomente auf Verbindungen zu den LTTE bestanden, hätte er unter den gegebenen Umständen zweifellos weitere Behelligungen zu gewärtigen gehabt. Dass in der Folge bis Kriegsende Unbekannte zwei bis drei Mal zuhause vorgesprochen und nach ihm gefragt haben sollen, ist zwar nicht auszuschliessen, allein daraus ist jedoch nicht abzuleiten, dem Beschwerdeführer seien Verbindungen zu den LTTE zur Last gelegt oder er sei in diesem Sinne registriert worden, zumal auch nicht ersichtlich wird, wer aus welchem Grund nach ihm gesucht habe. Der Beschwerdeführer macht diesbezüglich selber geltend, es könnten auch die LTTE gewesen sein, um ihn zum Beitritt zu bewegen. Eine in der Folge noch andauernde und allfällig asylrele­vante Verfolgungsmotivation ist daher insgesamt zu verneinen. So liegt auch die geltend gemachte Ermordung des Vaters mittlerweile mehr als zwanzig Jahre zurück. Ob dieser tatsächlich wegen LTTE-Unter­stützung getötet wurde, bleibt aufgrund sehr vager diesbezüglicher Vorbringen ohnehin ebenfalls unklar. Jedenfalls ist nicht davon auszugehen, dass der Beschwerdeführer seinetwegen mit relevanten Verfolgungshandlungen der Behörden zu rechnen hätte. Dasselbe trifft für sein bescheidenes und erzwungenes Engagement für die LTTE zu. In diesem Zusammenhang ist vielmehr zu bemerken, dass alle Personen, welche im von den LTTE kontrollierten Gebiet gelebt haben, Kontakt mit den LTTE hatten und nicht alleine aufgrund dieser Umstände Schutz gemäss des Abkommens vom 28. Juli 1951 über die Rechtsstel­lung der Flüchtlinge (FK, SR 0.142.30) benötigen (vgl. UNHCR, a.a.O. 2012, S. 26). Insgesamt ist festzuhalten, dass der Beschwerdeführer kein Risikoprofil aufweist, das ihn in der heutigen Zeit und unter den derzeit in Sri Lanka herrschenden Bedingungen als in asylrelevanter Weise gefährdet erscheinen lassen würde. Es gibt keine Anhaltspunkte dafür, dass er ernsthaft der Verbindung mit den LTTE verdächtigt wurde. Das Beschwerdevorbringen, die Vorsprachen durch Unbekannte hätten sich auch noch nach Kriegsende ereignet, sind unsubstanziiert geblieben und können aufgrund seines Persönlichkeitsprofils nicht nachvollzogen werden. Das eingereichte Beweismittel vom 30. November 2011 bestätigt zwar solche Vorfälle; gleichzeitig ist auf dem Dokument vermerkt, dass es auf Verlangen der Mutter des Beschwerdeführers ausgestellt worden sei. Entsprechend kommt ihm kein genügender Beweiswert zu. Die weiteren Beweismittel ver­mögen ebenfalls keine individuell-konkrete Verfolgung zu belegen. Die auf Beschwerdeebene gemachten Ausführungen beinhalten mithin keine konkreten Indizien, die ein Verfolgungsinteresse durch die sri-lanki­sche Regierung als wahrscheinlich erscheinen liessen, zumal auch der langjährige Aufenthalt in der Schweiz nicht per se auf eine entspre­chende Gefährdung schliessen lässt. Schliesslich ist nach der Zerschla­gung der LTTE auch eine diesbezüg­liche Verfolgung nicht beachtlich wahr­scheinlich.</w:t>
      </w:r>
    </w:p>
    <w:p>
      <w:r>
        <w:rPr>
          <w:b/>
        </w:rPr>
        <w:t>E. 5.3.3</w:t>
      </w:r>
    </w:p>
    <w:p>
      <w:r>
        <w:t>Nach dem Gesagten sind den Asylvorbringen des Beschwerdefüh­rers keine konkreten und stichhaltigen Hinweise dafür zu entnehmen, er weise ein Risikoprofil auf, das ihn zum heutigen Zeitpunkt und unter den der­zeit in Sri Lanka herrschenden Bedingungen in seinem Heimatstaat als in asylrelevanter Weise gefährdet erscheinen lässt.</w:t>
      </w:r>
    </w:p>
    <w:p>
      <w:r>
        <w:rPr>
          <w:b/>
        </w:rPr>
        <w:t>E. 5.4</w:t>
      </w:r>
    </w:p>
    <w:p>
      <w:r>
        <w:t>Zusammenfassend ist nach einer Gesamtwürdigung aller relevanten Faktoren festzuhalten, dass es dem Beschwerdeführer nicht gelungen ist, eine bestehende oder unmittelbar drohende asylrelevante Verfolgungsge­fahr nachzuweisen. Mangels Relevanz kann davon abgesehen werden, auf weitere Vorbringen und Beweismittel detailliert einzugehen. Somit hat die Vorinstanz zu Recht die Flüchtlingseigenschaft verneint und das Asylge­such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7.2.3</w:t>
      </w:r>
    </w:p>
    <w:p>
      <w:r>
        <w:t>Sodann ergeben sich weder aus seinen Aussagen noch aus den Ak­ten Anhaltspunkte dafür, dass er für den Fall einer Ausschaffung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Das Bundesverwaltungsgericht nahm in BVGE 2011/24 zur Frage der Gefährdung von Personen aus Sri Lanka eine Lageana­lyse vor. Es gebe Personenkreise, die immer noch einer erhöhten Verfol­gungsgefahr ausge­setzt sein könnten. Indes ist entgegen den Ausführungen in der Be­schwerde nicht in genereller Weise davon auszugehen, zurückkehrenden Tamilen drohe in Sri Lanka unmenschliche Behandlung (vgl. BVGE 2011/24 E. 10.4.2, SFH, a.a.O, S. 20ff.; UNHCR, a.a.O, S. 26ff.). Auch der EGMR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Eine entsprechende konkrete Gefahr, die dem Beschwerdeführer dro­hen könnte, ist jedoch nicht ersichtlich, auch nicht unter Berücksichti­gung der jüngsten Berichte. So wurde bereits festgestellt, dass seine Asyl­vorbrin­gen nicht auf begründete Furcht vor ernst­haften Nachteilen im Falle der Rückkehr ins Heimatland schliessen lassen. Gegenteiliges ver­mag der Beschwerdeführer auch nicht mit den eingereichten Beweismit­teln, aus denen kein "real risk" abgeleitet werden kann, zu belegen.</w:t>
      </w:r>
    </w:p>
    <w:p>
      <w:r>
        <w:rPr>
          <w:b/>
        </w:rPr>
        <w:t>E. 7.2.4</w:t>
      </w:r>
    </w:p>
    <w:p>
      <w:r>
        <w:t>Die allgemeine Menschenrechtssituation in Sri Lanka lässt den Weg­wei­sungsvollzug zum heutigen Zeitpunkt entgegen den wenig stich­halti­gen Beschwerdevorbringen ebenfalls nicht als unzulässig erscheinen. Nach dem Gesagten ist der Vollzug der Weg­weisung sowohl im Sinne der asyl- als auch der völkerrechtlichen Bestim­mungen zulässig.</w:t>
      </w:r>
    </w:p>
    <w:p>
      <w:r>
        <w:rPr>
          <w:b/>
        </w:rPr>
        <w:t>E. 7.3.1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7.3.2</w:t>
      </w:r>
    </w:p>
    <w:p>
      <w:r>
        <w:t>Mit BVGE 2011/24 hat das Bundesverwaltungsgericht die in BVGE 2008/2 publizierte Wegweisungsvollzugspraxis teilweise abgeändert. Hin­sichtlich des Wegwei­sungsvollzugs hält das Gericht fest, dass dieser in das ge­samte Gebiet der Ostprovinz grundsätzlich zumutbar sei (a.a.O. E. 13.1). Auch der Weg­weisungsvollzug in die Nordprovinz - mit Aus­nahme des Vanni-Ge­biets - sei grundsätzlich zumutbar, wobei sich eine zu­rückhal­tende Beurtei­lung der individuellen Zumutbarkeitskriterien sowie eine Be­rücksichti­gung des zeitlichen Elementes aufdränge (a.a.O. E. 13.2.1). Wei­terhin als unzumutbar müsse der Wegweisungsvollzug, überein­stim­mend mit dem BFM, für das Vanni-Gebiet gelten, welches zu Be­ginn des Jahres 2008 noch von den LTTE kontrolliert worden sei und in welchem sich in der Folge bis zum endgültigen Sieg über die LTTE die Kriegshand­lungen abgespielt hätten (a.a.O. E. 13.2.2). Für Personen, die aus dem übri­gen Staatsgebiet von Sri Lanka (d.h. die Provinzen North Cent­ral, North Western, Central, Western [namentlich der Grossraum Co­lombo], Southern, Sabarugamuwa und die Uva-Provinz) stammten und dort­hin zu­rückkehrten, sei der Wegweisungsvollzug grundsätzlich zumut­bar (a.a.O. E.13.3).</w:t>
      </w:r>
    </w:p>
    <w:p>
      <w:r>
        <w:rPr>
          <w:b/>
        </w:rPr>
        <w:t>E. 7.3.3</w:t>
      </w:r>
    </w:p>
    <w:p>
      <w:r>
        <w:t>Aus den Akten ergibt sich, dass der Beschwerdeführer aus B._______ im C._______ und mithin nicht aus dem Vanni-Gebiet stammt. Dort le­ben unter anderem seine Mutter und sein Bruder. Er ist jung und gesund und verfügt über eine gewisse Schulbildung sowie Arbeitserfahrung in verschiedenen Bereichen. Zudem bestehen weitere soziale Anknüpfungspunkte, so soll ein wohlhabender Onkel die Ausreise finanziert haben und der Beschwerdeführer habe sich vor der Ausreise bei verschiedenen Verwandten aufgehalten (vgl. A 11/18 S. 5, 13 und 15). Auch eine Wohngelegenheit dürfte bestehen. Damit liegen im vorliegenden Fall begünstigende Faktoren vor. Zudem hat der Beschwerdeführer den grössten Teil seines bisherigen Lebens in seinem Heimatland verbracht, wo er mit der Kultur und der Arbeits- beziehungsweise Lebensweise bestens vertraut ist. Unter diesen Umständen ist nicht davon auszugehen, dass er nach seiner Rückkehr nach Sri Lanka in eine existenzielle Notlage gera­ten wird.</w:t>
      </w:r>
    </w:p>
    <w:p>
      <w:r>
        <w:rPr>
          <w:b/>
        </w:rPr>
        <w:t>E. 7.3.4</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7.5</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Bei diesem Ausgang des Verfahrens wären die Kosten dem Be­schwerdeführer aufzuerlegen (Art. 63 Abs. 1 VwVG). Das Gesuch gemäss Art. 65 Abs. 1 VwVG ist jedoch in Berücksichtigung des geringen Einkommens des Beschwerdeführers gutzuheissen. Aufgrund der Akten ist davon auszugehen, dass der Beschwerdeführer als bedürftig im hier relevanten Sinne qualifiziert werden muss, zumal er die Prozesskosten nicht ohne Beeinträchtigung des notwendigen Lebensunterhalts zu leisten vermöchte.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