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D-1377/2023 vom 20. März 2023</w:t>
      </w:r>
    </w:p>
    <w:p>
      <w:r>
        <w:t>Bundesverwaltungsgericht, 2023-03-20, DE</w:t>
      </w:r>
    </w:p>
    <w:p>
      <w:r>
        <w:rPr>
          <w:b/>
        </w:rPr>
        <w:t xml:space="preserve">Quelle: </w:t>
      </w:r>
      <w:r>
        <w:t>https://mcp.opencaselaw.ch/entscheid/bvger_D-1377_2023</w:t>
      </w:r>
    </w:p>
    <w:p>
      <w:r>
        <w:t>FR: TAF D-1377/2023 du 20 mars 2023</w:t>
      </w:r>
    </w:p>
    <w:p>
      <w:r>
        <w:t>IT: TAF D-1377/2023 del 20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118 Abs. 3 AsylG; Art. 105 AsylG i.V.m. Art. 37 VGG und Art. 52 Abs. 1 VwVG).</w:t>
      </w:r>
    </w:p>
    <w:p>
      <w:r>
        <w:rPr>
          <w:b/>
        </w:rPr>
        <w:t>E. 1.2</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Antragsgemäss wird das vorliegende Beschwerdeverfahren mit dem Beschwerdeverfahren D-1375/2023 der angeblichen Ehefrau B._______ zeitlich koordiniert geführt.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5.3</w:t>
      </w:r>
    </w:p>
    <w:p>
      <w:r>
        <w:t>Ein Abgleich mit der europäischen Fingerabdruck-Datenbank Eurodac ergab, dass der Beschwerdeführer am 8. Oktober 2022 in Kroatien ein Asylgesuch eingereicht hatte. Das SEM ersuchte deshalb gestützt auf Art. 18 Abs. 1 Bst. b Dublin-III-VO die kroatischen Behörden am 18. November 2022 um Wiederaufnahme des Beschwerdeführers. Die kroatischen Behörden stimmten dem Wiederaufnahmegesuch des SEM am 1. Dezember 2022 zu. Damit steht die grundsätzliche staatsvertragliche Zuständigkeit Kroatiens zur Durchführung des Asyl- und Wegweisungsverfahrens fest.</w:t>
      </w:r>
    </w:p>
    <w:p>
      <w:r>
        <w:rPr>
          <w:b/>
        </w:rPr>
        <w:t>E. 5.4</w:t>
      </w:r>
    </w:p>
    <w:p>
      <w:r>
        <w:t>Der Beschwerdeführer bestätigte, sich in Kroatien aufgehalten zu haben, jedoch habe er kein Asylgesuch gestellt beziehungsweise nicht gewusst, welche Dokumente er unterzeichnet habe. Dieser Einwand ist als Schutzbehauptung zu sehen und vermag an der Zuständigkeit Kroatiens nichts zu ändern. Überdies räumt die Dublin-III-VO den Schutzsuchenden kein Recht ein, den ihren Antrag prüfenden Staat selbst zu wählen (vgl. BVGE 2010/45 E. 8.3). Auch hinsichtlich eines allfälligen Abhängigkeitsverhältnisses zu seiner (angeblichen) Ehefrau kann er sich betreffend staatsvertragliche Zuständigkeit nichts zu seinen Gunsten ableiten (Beschwerde, B. II. Ziff. 6; vgl. auch nachstehende Erwägung E. 11).</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Entgegen der in der Beschwerde vertretenen Ansicht liegen gemäss Praxis des Bundesverwaltungsgerichts im heutigen Zeitpunkt keine Gründe für die Annahme vor, das Asylverfahren und die Aufnahmebedingungen für Antragstellende in Kroatien würden systemische Schwachstellen im Sinne von Art. 3 Abs. 2 Sätze 2 und 3 Dublin-III-VO aufweisen (vgl. Urteile des BVGer F-4542/2022 vom 11. November 2022 E. 6.2 m.w.H, D-4160/2022 vom 28. September 2022 E. 7.3, D-735/2022 vom 28. Februar 2022 E. 6.5.2, F-1275/2021 vom 19. Mai 2021 E. 7.1.2).</w:t>
      </w:r>
    </w:p>
    <w:p>
      <w:r>
        <w:rPr>
          <w:b/>
        </w:rPr>
        <w:t>E. 6.4</w:t>
      </w:r>
    </w:p>
    <w:p>
      <w:r>
        <w:t>Die Beschwerdeausführungen zur allgemeinen Situation in Kroatien beziehungsweise zu problematischen Push-Backs vermögen anhand von Einzelberichten zu illegalen Abschiebungen und von Hinweisen auf öffentlich zugängliche Berichte, Internetseiten und eine E-Mail-Auskunft nichts an der diesbezüglich aktuellen Rechtsprechung des Bundesverwaltungsgerichts zu ändern (Fussnoten der Beschwerde, B. II. Ziff. 3.2 f; Beschwerdebeilage 4; Berichte der Schweizerischen Flüchtlingshilfe, Wochenzeitung und von Amnesty International). Die Vorinstanz hat in Beachtung der genannten Rechtsprechung eine Einzelfallprüfung vorgenommen und ist unter Verweis auf Abklärungen durch die Schweizerische Botschaft in Kroatien zum Schluss gekommen, dass Personen, welche im Rahmen von Dublin-Rückkehrenden nach Kroatien zurückgeführt werden, - entgegen der Behauptung auf Beschwerdeebene - nicht von der problematischen Push-back-Praxis betroffen sind (vgl. Urteile des BVGer D-4160/2022 vom 28. September 2022 E. 7.3.1, D-735/2022 vom 28. Februar 2022 E. 6.5.2). Überdies hat der Beschwerdeführer selbst auch kein Push-Back erlebt («er könne hingehen, wohin er wolle»; A12/2). Unter diesen Umständen ist die Anwendung von Art. 3 Abs. 2 Dublin-III-VO nicht gerechtfertigt.</w:t>
      </w:r>
    </w:p>
    <w:p>
      <w:r>
        <w:rPr>
          <w:b/>
        </w:rPr>
        <w:t>E. 6.5</w:t>
      </w:r>
    </w:p>
    <w:p>
      <w:r>
        <w:t>Der Beschwerdeführer konnte im Verlauf seines Verfahrens in der Schweiz weder eine Wegweisungsverfügung der kroatischen Behörden vorlegen noch ein konkretes und ernsthaftes Risiko dartun, dass sich die kroatischen Behörden weigern würden, ihn aufzunehmen und 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im Weiteren keine konkreten Gründe für die Annahme zu entnehmen, Kroatien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auch kein Grund zur Annahme, die Überstellung des Beschwerdeführers nach Kroatien würde zu einer Verletzung von Art. 3 EMRK führen oder das Land würde ihm dauerhaft die ihm gemäss Aufnahmerichtlinie zustehenden minimalen Lebensbedingungen vorenthalten (vgl. Art. 26 der Richtlinie des Europäischen Parlaments und des Rates 2013/33/EU vom 26. Juni 2013 zur Festlegung von Normen für die Aufnahme von Personen, die internationalen Schutz beantragen, sog. Aufnahmerichtlinie). Es ist alsdann mit der Vor-instanz festzuhalten, dass seine (Schutz-) Behauptung, die kroatischen Behörden hätten ihn zur Einreichung eines Asylgesuchs gezwungen, nicht plausibel ist, soweit sie überhaupt relevant ist. Im Übrigen ist der Beschwerdeführer gehalten, sich bei Bedarf an die kroatischen Behörden zu wenden und die ihm zustehenden Aufnahmebedingungen auf dem Rechtsweg einzufordern, zumal es sich bei Kroatien um einen funktionierenden Rechtsstaat handelt. Dem Beschwerdeführer ist es denn auch zuzumuten, sich an die kroatischen Behörden und/oder die Asylbehörden zu wenden, sollte er erneut allfälligen Problemen - wie beispielsweise einer schlechten Behandlung oder Diskriminierung - ausgesetzt werden.</w:t>
      </w:r>
    </w:p>
    <w:p>
      <w:r>
        <w:rPr>
          <w:b/>
        </w:rPr>
        <w:t>E. 6.6</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Kroatien verfügt grundsätzlich über eine ausreichende medizinische Infrastruktur (auch für psychische Leiden) und es gibt keinen Grund zur Annahme, dem Beschwerdeführer würde dort allfällig notwendige medizinische Behandlung verweigert (zur medizinischen Versorgung in Kroatien vgl. Urteil des BVGer D-735/2022 vom 28. Februar 2022 E. 6.7.3). Den vorinstanzlichen Akten sind keine gravierenden Gesundheitsbeschwerden des Beschwerdeführers zu entnehmen (mit Salbe und Tabletten behandelte Schulterschmerzen, Krätze und Erkältung; A18/1; A19/1) und es waren weder weitere Arzttermine geplant noch auf Beschwerdeebene geltend gemacht worden. Es ist mit der zutreffenden und genügenden Auseinandersetzung der Vorinstanz mit der gesundheitlichen Situation des Beschwerdeführers festzuhalten (vi-Entscheid, S. 8).</w:t>
      </w:r>
    </w:p>
    <w:p>
      <w:r>
        <w:rPr>
          <w:b/>
        </w:rPr>
        <w:t>E. 7</w:t>
      </w:r>
    </w:p>
    <w:p>
      <w:r>
        <w:t>Zusammenfassend ist festzuhalten, dass keine völkerrechtlichen Überstellungshindernisse bestehen und daher kein Grund vorliegt, der die Schweiz zum Selbsteintritt verpflichten würde. Im Weiteren ist im Zusammenhang mit der Anwendung der Souveränitätsklausel aus humanitären Gründen nach Art. 29a Abs. 3 AsylV 1 festzuhalten, dass vorliegend entgegen der Beschwerde - wie nachfolgend zu sehen ist - keine rechtlichen Fehler bei der Ermessensbetätigung durch die Vorinstanz ersichtlich sind.</w:t>
      </w:r>
    </w:p>
    <w:p>
      <w:r>
        <w:rPr>
          <w:b/>
        </w:rPr>
        <w:t>E. 8.1</w:t>
      </w:r>
    </w:p>
    <w:p>
      <w:r>
        <w:t>Die formellen Rügen (ungenügende Abklärung der Lage Kroatiens; Ermessensbetätigung) erweisen sich schliesslich aufgrund des Gesagten als unbegründet. Wie aus vorstehenden Erwägungen ersichtlich ist, hat sich das SEM in der angefochtenen Verfügung mit hinreichender Begründung mit den entscheidwesentlichen Sachverhaltselementen und den im vorinstanzlichen Verfahren vorgebrachten Argumenten des Beschwerdeführers auseinandergesetzt. Das Eventualbegehren um Rückweisung der Sache zur Feststellung des Sachverhaltes und zur Neubeurteilung an die Vorinstanz ist abzuweisen.</w:t>
      </w:r>
    </w:p>
    <w:p>
      <w:r>
        <w:rPr>
          <w:b/>
        </w:rPr>
        <w:t>E. 8.2</w:t>
      </w:r>
    </w:p>
    <w:p>
      <w:r>
        <w:t>Somit ist Kroatien als zuständiger Mitgliedstaat gemäss Dublin-III-VO verpflichtet, den Beschwerdeführer wiederaufzunehmen.</w:t>
      </w:r>
    </w:p>
    <w:p>
      <w:r>
        <w:rPr>
          <w:b/>
        </w:rPr>
        <w:t>E. 8.3</w:t>
      </w:r>
    </w:p>
    <w:p>
      <w:r>
        <w:t>Nach dem Gesagten besteht auch kein Anlass zur Einholung individueller Zusicherungen betreffend Zugang zum Asylverfahren, adäquate medizinische Behandlung und Unterbringung. Der Subeventualantrag auf Einholung individueller Garantien ist daher abzuweisen.</w:t>
      </w:r>
    </w:p>
    <w:p>
      <w:r>
        <w:rPr>
          <w:b/>
        </w:rPr>
        <w:t>E. 9</w:t>
      </w:r>
    </w:p>
    <w:p>
      <w:r>
        <w:t>Das SEM ist demnach zu Recht in Anwendung von Art. 31a Abs. 1 Bst. b AsylG auf das Asylgesuch nicht eingetreten und hat - weil der Beschwerdeführer nicht im Besitz einer gültigen Aufenthalts- oder Niederlassungsbewilligung ist - in Anwendung von Art. 44 AsylG folgerichtig die Überstellung nach Kroatien angeordnet.</w:t>
      </w:r>
    </w:p>
    <w:p>
      <w:r>
        <w:rPr>
          <w:b/>
        </w:rPr>
        <w:t>E. 10</w:t>
      </w:r>
    </w:p>
    <w:p>
      <w:r>
        <w:t>Die angefochtene Verfügung verletzt demnach Bundesrecht nicht und ist auch sonst nicht zu beanstanden. Die Beschwerde ist abzuweisen und die Verfügung der Vorinstanz zu bestätigen.</w:t>
      </w:r>
    </w:p>
    <w:p>
      <w:r>
        <w:rPr>
          <w:b/>
        </w:rPr>
        <w:t>E. 11</w:t>
      </w:r>
    </w:p>
    <w:p>
      <w:r>
        <w:t>Angesichts der Tatsache, dass auch die Beschwerde der (angeblichen) Ehefrau mit Urteil D-1375/2023 gleichen Datums abgewiesen und damit die Wegweisung - ebenfalls nach Kroatien - bestätigt wurde, erübrigen sich weitere Anmerkungen zur Einheit der Familie beziehungsweise zu einem allfälligen Abhängigkeitsverhältnis wie auch zur Befürchtung einer örtlichen Trennung des Beschwerdeführers von seiner Partnerin (Beschwerde, B. II. Ziff. 6, Beschwerdebeilagen 6 bis 9).</w:t>
      </w:r>
    </w:p>
    <w:p>
      <w:r>
        <w:rPr>
          <w:b/>
        </w:rPr>
        <w:t>E. 12.1</w:t>
      </w:r>
    </w:p>
    <w:p>
      <w:r>
        <w:t>Das Beschwerdeverfahren ist mit vorliegendem Urteil abgeschlossen, weshalb sich die Anträge auf Gewährung der aufschiebenden Wirkung und auf Verzicht auf die Erhebung eines Kostenvorschusses als gegenstandslos erweisen.</w:t>
      </w:r>
    </w:p>
    <w:p>
      <w:r>
        <w:rPr>
          <w:b/>
        </w:rPr>
        <w:t>E. 12.2</w:t>
      </w:r>
    </w:p>
    <w:p>
      <w:r>
        <w:t>Der am 13. März 2023 angeordnete Vollzugsstopp fällt mit dem vorliegenden Urteil dahin.</w:t>
      </w:r>
    </w:p>
    <w:p>
      <w:r>
        <w:rPr>
          <w:b/>
        </w:rPr>
        <w:t>E. 13</w:t>
      </w:r>
    </w:p>
    <w:p>
      <w:r>
        <w:t>Das Gesuch um Gewährung der unentgeltlichen Rechtspflege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