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D-1369/2011 vom 29. Februar 2012</w:t>
      </w:r>
    </w:p>
    <w:p>
      <w:r>
        <w:t>Bundesverwaltungsgericht, 2012-02-29, DE</w:t>
      </w:r>
    </w:p>
    <w:p>
      <w:r>
        <w:rPr>
          <w:b/>
        </w:rPr>
        <w:t xml:space="preserve">Quelle: </w:t>
      </w:r>
      <w:r>
        <w:t>https://mcp.opencaselaw.ch/entscheid/bvger_D-1369_2011</w:t>
      </w:r>
    </w:p>
    <w:p>
      <w:r>
        <w:t>FR: TAF D-1369/2011 du 29 février 2012</w:t>
      </w:r>
    </w:p>
    <w:p>
      <w:r>
        <w:t>IT: TAF D-1369/2011 del 29 febbraio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Dies liegt in casu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Vorbringen in der Beschwerdeeingabe vom 28. Februar 2011 sind nicht geeignet, eine Änderung der vorinstanzlichen Verfügung zu bewirken. Der Argumentation der Vorinstanz werden keine stichhaltigen und substanziierten Gründe entgegengesetzt. Eine diesbezügliche Aus­einandersetzung unterbleibt zwar nicht gänzlich. Die Ausführungen des Beschwerdeführers vermögen jedoch die nachvollziehbaren Erwägungen des BFM nicht umzustossen. Für das Bundesverwaltungsgericht besteht nach Überprüfung der Akten keine Veranlassung, die Erwägungen des Bundesamtes zu beanstanden. Um Wiederholungen zu vermeiden kann auf die zutreffenden Ausführungen in der angefochtenen Verfügung verwiesen werden. Ausserdem wurde bereits in der Zwischenverfügung vom 9. März 2011 ausführlich dargelegt und zusammenfassend festgehalten, dass die Erwägungen der Vorinstanz zu bestätigen und durch die Ausführungen in der Beschwerdeschrift nicht zu entkräften sein dürften. Nach dem Gesagten droht dem Beschwerdeführer keine asylrelevante Verfolgung im Sinne von Art. 3 AsylG.</w:t>
      </w:r>
    </w:p>
    <w:p>
      <w:r>
        <w:rPr>
          <w:b/>
        </w:rPr>
        <w:t>E. 5.2</w:t>
      </w:r>
    </w:p>
    <w:p>
      <w:r>
        <w:t>Aufgrund der vorstehenden Erwägungen erübrigt es sich, auf die weiteren Ausführungen in der Beschwerde sowie auf die eingereichten Beweismittel im Einzelnen einzugehen, da sie am Ergebnis der vorgenommenen Würdigung nichts zu ändern vermögen. Unter diesen Umständen ist somit festzuhalten, dass der Beschwerdeführer einen flüchtlingsrechtlich bedeutsamen Sachverhalt weder nachgewiesen noch glaubhaft gemacht hat. Die Feststellung des BFM, der Beschwerdeführer erfülle die Flüchtlingseigenschaft gemäss Art. 3 AsylG nicht, ist dementsprechend zu bestätigen. Das BFM hat das Asylgesuch zu Recht und mit zutreffender Begründung abgelehnt. Es besteht kein Anlass, die Sache an die Vorinstanz zurückzuweisen.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BVGE 2009/50 E.9 S. 733 mit weiteren Hinweisen).</w:t>
      </w:r>
    </w:p>
    <w:p>
      <w:r>
        <w:rPr>
          <w:b/>
        </w:rPr>
        <w:t>E. 6.3</w:t>
      </w:r>
    </w:p>
    <w:p>
      <w:r>
        <w:t>Zu prüfen bleibt in der Regel, ob es Gründe gibt, die dem Vollzug einer Wegweisung entgegenstehen (vgl. Art. 44 AsylG und Art. 83 Abs. 1-4 AuG). Vorliegend hat jedoch das Bundesamt in der angefochtenen Verfügung die vorläufige Aufnahme des Beschwerdeführers in der Schweiz angeordnet, wodurch die Prüfung allfälliger Wegweisungshindernisse entfällt.</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dem Beschwerde­führer aufzuerlegen (Art. 63 Abs. 1 VwVG), auf insgesamt Fr. 600.- festzusetzen (Art. 1 - 3 des Reglements vom 21. Februar 2008 über die Kosten und Entschädigungen vor dem Bundesverwaltungsgericht [VGKE, SR 173.320.2]) und mit dem am 21. März 2011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