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D-1366/2023 vom 7. Februar 2023</w:t>
      </w:r>
    </w:p>
    <w:p>
      <w:r>
        <w:t>Bundesverwaltungsgericht, 2023-02-07, DE</w:t>
      </w:r>
    </w:p>
    <w:p>
      <w:r>
        <w:rPr>
          <w:b/>
        </w:rPr>
        <w:t xml:space="preserve">Quelle: </w:t>
      </w:r>
      <w:r>
        <w:t>https://mcp.opencaselaw.ch/entscheid/bvger_D-1366_2023_d20230207</w:t>
      </w:r>
    </w:p>
    <w:p>
      <w:r>
        <w:t>FR: TAF D-1366/2023 du 7 février 2023</w:t>
      </w:r>
    </w:p>
    <w:p>
      <w:r>
        <w:t>IT: TAF D-1366/2023 del 7 febbraio 2023</w:t>
      </w:r>
    </w:p>
    <w:p>
      <w:pPr>
        <w:pStyle w:val="Heading2"/>
      </w:pPr>
      <w:r>
        <w:t>Regeste</w:t>
      </w:r>
    </w:p>
    <w:p>
      <w:r>
        <w:t>Asyl (ohne Wegweisungsvollzug) | Asyl (ohne Wegweisungsvollzug); Verfügung des SEM vom 7.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D-1366/2023 Seite 6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 Personen (vgl. Urteile des BVGer D-5160/2023 vom 16. Januar 2024 E. 7.2, D-4268/2022 vom 29. März 2023 E. 7.1, D-1350/2022 vom 29. März 2023 E. 7.2, D-2415/2022 vom 24. März 2022 E. 10.2 je mit weiteren Hinweisen). Die aktuelle Lage in Afghanistan kann derzeit nicht abschliessend beurteilt werden, sie hat sich jedoch nach der Machtergreifung der Taliban im August 2021 offenbar akzentuiert (vgl.</w:t>
      </w:r>
    </w:p>
    <w:p>
      <w:r>
        <w:t>D-1366/2023 Seite 7 Urteile des BVGer D-5160/2023 vom 16. Januar 2024 E. 7.2, D-1191/2023 vom 8. Mai 2023 E. 5.2.1, E-4833/2020 vom 9. März 2023 E. 5.4). Das Bundesverwaltungsgericht geht davon aus, dass auch die familiäre Zugehörigkeit zu einer Person, die einem erhöhten Verfolgungsrisiko im Sinne der obenstehenden Erwägungen ausgesetzt ist, zu einer Reflexver- folgung führen kann (vgl. Urteile des BVGer D-5160/2023 vom 16. Januar 2024 E. 7.2, D-4268/2022 vom 29. März 2023 E. 7.1, E-5120/2021 vom 21. Juli 2022 E. 6.3.4, D-1728/2022 vom 10. Mai 2022 E. 7.3 und D-2161/2021 vom 12. Januar 2022 E. 7.4). Dies gilt insbesondere in Bezug auf (ehemalige) Angehörige der Polizei und der Sicherheitskräfte, Regie- rungsbeamte oder der Regierung nahestehende Personen (vgl. Urteil des BVGer D-5160/2023 vom 16. Januar 2024 E. 7.2 m.w.H.). Die konkrete Einschätzung des Risikoprofils ist im jeweiligen Einzelfall vorzunehmen. Es müssen konkrete Indizien und tatsächliche Anhaltspunkte dargelegt wer- den, die die Furcht vor einer real drohenden Verfolgung nachvollziehbar erscheinen lassen. Eine begründete Furcht vor künftiger Verfolgung ist mit- hin zu bejahen, wenn eine Person aufgrund konkreter Indizien mit guten Gründen, das heisst objektiv nachvollziehbar, befürchten muss, dass ihr mit beachtlicher Wahrscheinlichkeit Verfolgung droht, und ihr deshalb eine Rückkehr in den Heimatstaat nicht zugemutet werden kann (vgl. Urteil des BVGer D-4268/2022 vom 29. März 2023 E. 7.1).</w:t>
      </w:r>
    </w:p>
    <w:p>
      <w:r>
        <w:rPr>
          <w:b/>
        </w:rPr>
        <w:t>E. 4.2</w:t>
      </w:r>
    </w:p>
    <w:p>
      <w:r>
        <w:t>Der Beschwerdeführer macht geltend, dass er aufgrund der Tätigkeit seiner Brüder für die Firma «Ecolog» begründete Furcht vor Verfolgung habe. Die Tätigkeit von zwei dieser Brüder ist als glaubhaft zu erachten, während im Falle des dritten Bruders davon auszugehen ist, dass dieser nicht bei «Ecolog» angestellt war, sondern seine Brüder vielmehr als Ge- fälligkeit jeweils zum Arbeitsort fuhr (vgl. das ebenfalls am heutigen Tag ergangene Urteil D-1358/2023 E. 5.3).</w:t>
      </w:r>
    </w:p>
    <w:p>
      <w:r>
        <w:rPr>
          <w:b/>
        </w:rPr>
        <w:t>E. 4.3</w:t>
      </w:r>
    </w:p>
    <w:p>
      <w:r>
        <w:t>Aus den Akten ist ersichtlich, dass seine zwei für «Ecolog» tätigen Brü- der im Rahmen ihrer Arbeit enge Kontakte zu den US/NATO-Truppen un- terhalten haben. Zu bemerken ist jedoch, dass sie lediglich in der (…) ge- arbeitet haben und somit keine polizeilichen Funktionen wahrgenommen haben oder als Sicherheitskräfte tätig gewesen sind. Obwohl aufgrund die- ser Funktion keine sonderlich grosse Exponierung anzunehmen ist, ist den- noch davon auszugehen, dass die Brüder einer Gefährdung ausgesetzt waren. Dafür spricht, dass sie offenbar in Anwendung des Afghan Allies Protection Act 2009 in den USA Schutz erhalten haben. Dieser Schutz setzt gemäss Paragraph 2 Sub-Paragraph A (iv) eine Gefährdung voraus («[the</w:t>
      </w:r>
    </w:p>
    <w:p>
      <w:r>
        <w:t>D-1366/2023 Seite 8 alien] has experienced or is experiencing an ongoing serious threat as a consequence of the alien’s employment»). In diesem Sinne äussern sich auch die Empfehlungsschreiben, in welchen ausgeführt wird, dass die Brü- der wegen ihrer Tätigkeit in Gefahr gewesen seien (vgl. act. […]-Beweis- mittel 4 und 8). Hinzu kommt, dass der Beschwerdeführer seine Brüder offenbar regelmäs- sig begleitete und dadurch ebenfalls Kontakt insbesondere zu den US- Truppen pflegte (vgl. act. […]-65/12 F25 und F38).</w:t>
      </w:r>
    </w:p>
    <w:p>
      <w:r>
        <w:rPr>
          <w:b/>
        </w:rPr>
        <w:t>E. 4.4</w:t>
      </w:r>
    </w:p>
    <w:p>
      <w:r>
        <w:t>Aus der Gefährdung dieser Brüder sowie seinen eigenen Kontakten zu den US-Truppen kann jedoch nicht unbesehen auf eine Gefährdung des Beschwerdeführers geschlossen werden. Zwar ist aktuellen Länderinfor- mationen zu entnehmen, dass nicht nur Ecolog-Mitarbeiter selbst, sondern vielmehr auch ihre Familienangehörige im Fokus der Taliban stehen kön- nen (vgl. Info Migrants, 12 months, four countries, one hope: Afghan refu- gees settle in Latvia after yearlong odyssey, 31. Dezember 2022, &lt; www.in- fomigrants.net/en/post/45762/12-months-four-countries-one-hope-afghan- refugees-settle-in-latvia-after-yearlong-odyssey &gt;, abgerufen am 15.3.2024). Im vorliegenden Fall mangelt es jedoch an objektiven Anhalts- punkten für die Annahme einer hinreichenden Gefährdung des Beschwer- deführers. Zum einen handelt es sich beim Beschwerdeführer um eine min- derjährige Person, die bis zur Ausreise die Schule besucht und sich in kei- ner Weise politisch betätigt hat. Zum andern wurde er gemäss eigenen An- gaben selbst nie von den Taliban behelligt (vgl. act. […]-21/15 S. 13). Auch seine in Afghanistan verbliebenen Familienangehörigen sind bisher nicht Ziel von ernsthaften Massnahmen der Taliban geworden (vgl. act. […]- 65/12 F9 bis F14 und F57), weshalb die Tätigkeit der Brüder offenbar nicht zu Reflexverfolgungshandlungen gegenüber weiteren Familienangehöri- gen geführt hat. Das Vorliegen einer begründeten Furcht vor Verfolgung ist somit zu vernei- nen.</w:t>
      </w:r>
    </w:p>
    <w:p>
      <w:r>
        <w:rPr>
          <w:b/>
        </w:rPr>
        <w:t>E. 4.5</w:t>
      </w:r>
    </w:p>
    <w:p>
      <w:r>
        <w:t>Das SEM hat somit zu Recht die Flüchtlingseigenschaft verneint und das Asylgesuch abgelehnt.</w:t>
      </w:r>
    </w:p>
    <w:p>
      <w:r>
        <w:rPr>
          <w:b/>
        </w:rPr>
        <w:t>E. 5.1</w:t>
      </w:r>
    </w:p>
    <w:p>
      <w:r>
        <w:t>Lehnt das SEM das Asylgesuch ab oder tritt es darauf nicht ein, so verfügt es in der Regel die Wegweisung aus der Schweiz und ordnet den</w:t>
      </w:r>
    </w:p>
    <w:p>
      <w:r>
        <w:t>D-1366/2023 Seite 9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5.3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Bei diesem Ausgang des Verfahrens wären die Kosten dem Be- schwerdeführer aufzuerlegen (Art. 63 Abs. 1 VwVG). Da ihm jedoch mit Zwischenverfügung vom 21. März 2023 die unentgeltliche Prozessführung nach Art. 65 Abs. 1 VwVG gewährt worden ist, sind keine Verfahrenskosten zu erheben.</w:t>
      </w:r>
    </w:p>
    <w:p>
      <w:r>
        <w:rPr>
          <w:b/>
        </w:rPr>
        <w:t>E. 7.2</w:t>
      </w:r>
    </w:p>
    <w:p>
      <w:r>
        <w:t>Mit Zwischenverfügung vom 30. März 2023 wurde die rubrizierte Rechtsvertreterin als amtliche Rechtsbeiständin beigeordnet. Ihr ist folglich ein amtliches Honorar zu entrichten. Seitens der Rechtsvertreterin wurde keine Honorarnote eingereicht. Auf die Nachforderung einer solchen kann indes verzichtet werden, da sich der Aufwand zuverlässig abschätzen lässt (vgl. Art. 14 Abs. 2 des Reglements vom 21. Februar 2008 über die Kosten und Entschädigungen vor dem Bundesverwaltungsgericht [VGKE, SR 173.320.2]). Das Honorar ist unter Berücksichtigung der Bemessungs- faktoren gemäss Art. 12 in Verbindung mit Art. 8 ff. VGKE auf insgesamt Fr. 625.– festzusetzen. (Dispositiv nächste Seite)</w:t>
      </w:r>
    </w:p>
    <w:p>
      <w:r>
        <w:t>D-1366/2023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