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D-1363/2015 vom 23. Juni 2016</w:t>
      </w:r>
    </w:p>
    <w:p>
      <w:r>
        <w:t>Bundesverwaltungsgericht, 2016-06-23, DE</w:t>
      </w:r>
    </w:p>
    <w:p>
      <w:r>
        <w:rPr>
          <w:b/>
        </w:rPr>
        <w:t xml:space="preserve">Quelle: </w:t>
      </w:r>
      <w:r>
        <w:t>https://mcp.opencaselaw.ch/entscheid/bvger_D-1363_2015</w:t>
      </w:r>
    </w:p>
    <w:p>
      <w:r>
        <w:t>FR: TAF D-1363/2015 du 23 juin 2016</w:t>
      </w:r>
    </w:p>
    <w:p>
      <w:r>
        <w:t>IT: TAF D-1363/2015 del 23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namentlich damit, eine im Mai 2012 durchgeführte Knochenaltersbestimmung habe ergeben, dass der Beschwerdeführer ein wahrscheinliches chronologisches Alter von (...) Jahren oder mehr habe. Zwar habe dieser zur Stützung seiner Behauptung, minderjährig zu sein, im Verlauf des erstinstanzlichen Verfahrens eine aus dem Jahr 2011 stammende Tazkira eingereicht, wonach er im Jahre 2011 (...) Jahre alt gewesen sei. Dieser Umstand widerspreche indessen seiner eigenen Aussage bei der BzP, wonach ihm seine Eltern gesagt hätten, in der Tazkira stünde, dass er (...) Jahre alt sei. Im Weiteren sei angesichts der Tatsache, dass in Afghanistan viele vermeintliche amtliche und nicht amtliche Dokumente beliebigen Inhalts ohne Mühe gegen Bezahlung erworben werden könnten, an der Echtheit der Tazkira Zweifel angebracht, weshalb dieser für das vorliegende Verfahren "keine genügende Beweiskraft" zukomme. Bereits diese Überlegungen führten zum Schluss, dass die Behauptung des Beschwerdeführers, im Jahre (...) geboren zu sein, nicht als glaubhaft erachtet werden könne. Bereits ein solches Aussageverhalten sei der generellen Glaubwürdigkeit des Beschwerdeführers im Asylverfahren abträglich. Darüber hinaus habe der Beschwerdeführer im Rahmen des Asylverfahrens behauptet, er habe ausreisen müssen, weil ein Kommandant ihn als Tanz- und Lustknaben begehrt habe. Sein (des Beschwerdeführers) Vater habe hauptsächlich als Taxichauffeur, daneben aber auch noch als Flächenmaler und als Koch gearbeitet. Bei der strafrechtlichen Einvernahme (wegen illegaler Einreise in die Schweiz) habe er hingegen angegeben, seine Eltern hätten in Kabul einen Laden besessen und seien von Terroristen erpresst worden. Diese beiden Versionen von Fluchtgründen könnten miteinander nicht in Einklang gebracht werden. Der Beschwerdeführer habe diesbezüglich in seiner Stellungnahme vom 16. Dezember 2014 im Wesentlichen vorgebracht, die beiden Versionen seien sehr wohl miteinander vereinbar, habe er doch auch im Asylverfahren angegeben, von einem Kommandanten erpresst und bedroht worden zu sein und sich terrorisiert gefühlt zu haben. Mit dieser Argumentation sei es ihm indessen nicht gelungen, die vorerwähnten Abweichungen ausreichend und überzeugend aufzulösen. Hinsichtlich des vom Beschwerdeführer eingereichten handschriftlichen Schreibens sowie des Polizeiberichts sei festzuhalten, dass derartige Dokumente in Afghanistan ohne weiteres unrechtmässig erworben werden könnten, weshalb ihr Beweiswert generell als äusserst gering eingestuft werden müsse. Hiervon abgesehen sei anzumerken, dass er (der Beschwerdeführer) laut dem Polizeibericht am (...) 2012 bei der Polizei in Kabul eine Klage gegen seinen Aggressor eingereicht habe. Zum Zeitpunkt der Klageeinreichung habe er sich indessen bereits in der Schweiz aufgehalten. Es erscheine nun aber nicht plausibel, weshalb er noch von der sicheren Schweiz aus eine entsprechende Klage hätte einreichen sollen, hätte er hierdurch doch seine Angehörigen in Afghanistan der Gefahr ausgesetzt, Opfer von Repressalien aus dem Umfeld des Kommandanten zu werden. All diese Ungereimtheiten führten im Ergebnis zum Schluss, dass er sich auf eine konstruierte Asylbegründung abstütze.</w:t>
      </w:r>
    </w:p>
    <w:p>
      <w:r>
        <w:rPr>
          <w:b/>
        </w:rPr>
        <w:t>E. 4.2</w:t>
      </w:r>
    </w:p>
    <w:p>
      <w:r>
        <w:t>In der Beschwerde wird geltend gemacht, es gehe nicht an, die Beweiskraft der vom Beschwerdeführer zu den Akten gereichten Tazkira einzig mit dem Argument zu verneinen, solche Dokumente könnten in Afghanistan auch käuflich erworben werden. Dies umso mehr, als der eingereichte Identitätsausweis allem Anschein nach keinerlei Fälschungsmerkmale aufweise, ansonsten die Vorinstanz solche zweifellos aufgeführt hätte. Darüber hinaus sei die Knochenaltersbestimmung nach der Methode von Greulich-Pyle gemäss einem Gutachten, das Pro Asyl und der Verein Demokratischer Ärzte und Ärztinnen in Deutschland vor Jahren in Auftrag gegeben hätten, bei aussereuropäischen Jugendlichen nicht geeignet, auf ihr effektives Alter schliessen zu lassen. Hiervon abgesehen sei darauf hinzuweisen, dass das effektive Alter des Beschwerdeführers keineswegs ausschlaggebend für die Glaubwürdigkeit seiner Angaben zur erlittenen oder befürchteten künftigen Verfolgung sei. Nach seinen Kenntnissen sei das effektive Lebensalter der Betroffenen nicht das Kriterium, nach welchen Tanzknaben rekrutiert würden; massgeblich dafür sei einzig ihr Aussehen. Dass er im Jahr 2012 durchaus nicht älter als (...) Jahre alt ausgesehen habe, gehe aus der beigelegten Fotografie, die im Jahr 2012 in L._______ gemacht worden sei, hervor. Die Vorinstanz stütze die angeblichen Ungereimtheiten in den Asylvorbringen des Beschwerdeführers im Wesentlichen auf Unterschiede, die sich zwischen dem Einvernahmeprotokoll der Kantonspolizei E._______ vom 16. Mai 2012 und den Befragungen im Asylverfahren feststellen liessen. Auf die Aussagen des Beschwerdeführers anlässlich seiner Einvernahme durch die Kantonspolizei E._______ dürfe indessen gar nicht abgestellt werden, da die Übersetzerin ihre Funktion nur per Telefon ausgeübt, nicht dieselbe Sprache wie der Beschwerdeführer (Farsi statt Dari) gesprochen und schliesslich auch keine Rückübersetzung des Protokolls stattgefunden habe. Schliesslich habe die Vorinstanz die vom Beschwerdeführer zu den Akten gereichte polizeiliche Strafanzeige (vom [...] 2012) offenbar nicht sorgfältig geprüft, gehe aus diesem Dokument doch klar hervor, dass nicht der Beschwerdeführer, sondern dessen Vater die entsprechende Anzeige gemacht habe.</w:t>
      </w:r>
    </w:p>
    <w:p>
      <w:r>
        <w:rPr>
          <w:b/>
        </w:rPr>
        <w:t>E. 4.3</w:t>
      </w:r>
    </w:p>
    <w:p>
      <w:r>
        <w:t>Das SEM hielt in seiner Vernehmlassung fest, die Beschwerdeschrift enthalte keine neuen erheblichen Tatsachen oder Beweismittel, die eine Änderung seines Standpunktes rechtfertigen könnten. Ergänzend führte es aus, auch mit dem (nicht sonderlich originellen, sondern eher stereotypen) Hinweis auf Übersetzungsschwierigkeiten werde seiner Meinung nach der eklatante Widerspruch hinsichtlich des angeblichen Ausreiseanlasses nicht aufgelöst.</w:t>
      </w:r>
    </w:p>
    <w:p>
      <w:r>
        <w:rPr>
          <w:b/>
        </w:rPr>
        <w:t>E. 4.4</w:t>
      </w:r>
    </w:p>
    <w:p>
      <w:r>
        <w:t>Der Beschwerdeführer hält dieser Sichtweise in der Replik entgegen, das Festhalten der Vorinstanz an der Beweistauglichkeit des Protokolls der Kantonspolizei E._______ wecke grosse Bedenken. Angesichts der Tatsache, dass der Beschwerdeführer und die Übersetzerin nicht dieselbe Sprache gesprochen hätten, keine Rückübersetzung des Protokolls erfolgt sei und das Protokoll im Zusammenhang mit der illegalen Einreise des Beschwerdeführers in die Schweiz erfolgt sei, dürfe auf dieses zur Beurteilung seiner Asylvorbringen nicht abgestellt werden.</w:t>
      </w:r>
    </w:p>
    <w:p>
      <w:r>
        <w:rPr>
          <w:b/>
        </w:rPr>
        <w:t>E. 5.1</w:t>
      </w:r>
    </w:p>
    <w:p>
      <w:r>
        <w:t>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 Verwaltungsverfahren und Verwaltungsrechtspflege des Bundes, 3. Aufl., Zürich 2013, S. 398, Rz. 1136). Wie sich aus nachfolgenden Erwägungen ergibt, hat das SEM das Asylgesuch des Beschwerdeführers - ungeachtet der Frage, ob seine Begründung in allen Teilen zutreffend ist - zu Recht abgelehnt.</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2010/44 E. 3.4).</w:t>
      </w:r>
    </w:p>
    <w:p>
      <w:r>
        <w:rPr>
          <w:b/>
        </w:rPr>
        <w:t>E. 5.3.1</w:t>
      </w:r>
    </w:p>
    <w:p>
      <w:r>
        <w:t>Der Beschwerdeführer begründete sein Asylgesuch im Wesentlichen damit, ein Kommandant habe ihn mittels eines Leibwächters monatelang als Lust- und Tanzknaben anzuwerben versucht und ihm schliesslich mit seiner Entführung beziehungsweise Tötung gedroht, falls er nicht gefügig sei. Aus diesem Grund habe er keine andere Möglichkeit mehr als die Flucht aus seiner Heimat gesehen.</w:t>
      </w:r>
    </w:p>
    <w:p>
      <w:r>
        <w:rPr>
          <w:b/>
        </w:rPr>
        <w:t>E. 5.3.2</w:t>
      </w:r>
    </w:p>
    <w:p>
      <w:r>
        <w:t>Das SEM hat in der angefochtenen Verfügung die Flüchtlingseigenschaft des Beschwerdeführers verneint beziehungsweise dessen Asylgesuch abgelehnt, weil es dessen Asylvorbringen als unglaubhaft einschätzte. Die Frage, ob die Vorinstanz zu Recht oder zu Unrecht auf Unglaubhaftigkeit der Asylvorbringen des Beschwerdeführers geschlossen hat, kann im vorliegenden Fall indessen offen bleiben, da selbst im Falle der Annahme, dass seine Aussagen den Tatsachen entsprechen sollten, diese aus nachfolgenden Gründen als in asylrechtlicher Hinsicht nicht relevant zu bezeichnen sind.</w:t>
      </w:r>
    </w:p>
    <w:p>
      <w:r>
        <w:rPr>
          <w:b/>
        </w:rPr>
        <w:t>E. 5.3.3</w:t>
      </w:r>
    </w:p>
    <w:p>
      <w:r>
        <w:t>Eine Verfolgung vermag nämlich erst dann die Flüchtlingseigenschaft zu begründen, wenn sie aus einem der in Art. 3 Abs. 1 AsylG genannten Gründe (Rasse, Religion, Nationalität, Zugehörigkeit zu einer bestimmten sozialen Gruppe oder politische Anschauung) erfolgt. Ein derartiges Verfolgungsmotiv (vgl. hierzu beispielsweise Walter Kälin, Grundriss des Asylverfahrens, 1990, S. 86 ff.; Walter Stöckli, Asyl, in: Uebersax/Rudin/ Hugi Yar/Geiser [Hrsg.], Ausländerrecht, 2. Aufl. 2009, Rz. 11.10-11.12) ist aus den vorliegenden Akten indessen nicht ersichtlich, handelt es sich doch beim Versuch, den Beschwerdeführer als Lustknaben anzuwerben, und - damit einhergehend - Drohungen gegen ihn auszusprechen, schlicht um gemeinrechtliche Straftaten, welche keine Verfolgung im asylrechtlichen Sinne darzustellen vermögen.</w:t>
      </w:r>
    </w:p>
    <w:p>
      <w:r>
        <w:rPr>
          <w:b/>
        </w:rPr>
        <w:t>E. 5.4</w:t>
      </w:r>
    </w:p>
    <w:p>
      <w:r>
        <w:t>In Würdigung der gesamten Umstände und der Vorbringen des Beschwerdeführers ist zusammenfassend festzustellen, dass er keine Grün­de nach Art. 3 AsylG nachweisen oder glaubhaft machen kann, weshalb die Voraussetzungen für die Zuerkennung der Flüchtlingseigenschaft nicht erfüllt sind. Es erübrigt sich, auf die weiteren Ausführungen in der Beschwerde im Einzelnen einzugehen, da sie an der Würdigung des vorliegenden Sachverhalts nichts zu ändern vermögen. Die Vorinstanz hat das Asylgesuch des Beschwerdeführers demnach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In diesem Zusammenhang bleibt zu prüfen, ob dem Beschwerdeführer aufgrund seiner vormaligen Weigerung, als Lustknabe in die Dienste des Kommandanten zu treten, bei einer Rückkehr nach Afghanistan eine mit beachtlicher Wahrscheinlichkeit drohende menschenrechtswidrige Strafe oder Behandlung droht. Diesbezüglich ist festzuhalten, dass der zwischenzeitlich mutmasslich ungefähr (...) jährige Beschwerdeführer dem Knabenalter endgültig entwachsen ist und deshalb nicht mehr im Fokus des Interesses des Kommandanten stehen dürfte, der laut Angaben des Beschwerdeführers anderweitig über eine Vielzahl williger Lustknaben zu verfügen scheint. Darüber hinaus ist auch angesichts des zwischenzeitlich über vier Jahre zurückliegenden Geschehnisses davon auszugehen, dass dieses für den Beschwerdeführer bei einer Rückkehr nach Afghanistan keine weiteren Konsequenzen mehr haben dürfte, zumal auch nicht aktenkundig ist, dass dessen Vater zufolge seiner (...) 2012 gegen den Leibwächter des Kommandanten erhobenen Strafanzeige irgendwelche Schwierigkeiten gehabt hätte. Es ist deshalb davon auszugehen, dass der Beschwerdeführer im heutigen Zeitpunkt nicht mehr riskiert, vom Kommandanten wegen der vormaligen Weigerung, ihm zu dienen, "bestraft" zu werden. Die allgemeine Menschenrechtssituation in Afghanistan lässt den Wegweisungsvollzug zum heutigen Zeitpunkt für sich allein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Betreffend die allgemeine Lage in Afghanistan ist auf die vom Bundesverwaltungsgericht vorgenommene Einschätzung im Grundsatzurteil BVGE 2011/7 zu verweisen, welche im Ergebnis nach wie vor zutreffend ist. Die Sicherheitslage sowie die humanitären Bedingungen sind in weiten Teilen Afghanistans - ausser allenfalls in den Grossstädten - zwar äusserst schlecht. Die Situation in Afghanistan ist praktisch flächendeckend als existenzbedrohend im Sinne von Art. 83 Abs. 4 AuG zu qualifizieren. Von dieser allgemeinen Feststellung ist die Situation in der Hauptstadt Kabul zu unterscheiden. Angesichts dessen, dass sich dort die Sicherheitslage im Verlauf der vergangenen Jahre nicht weiter verschlechtert hat und die humanitäre Situation im Vergleich zu den übrigen Gebieten etwas weniger dramatisch ist, kann der Vollzug der Wegweisung nach Kabul unter bestimmten, im Einzelfall sorgfältig zu prüfenden Umständen als zumutbar qualifiziert werden. Solche Umstände können grundsätzlich namentlich dann gegeben sein, wenn es sich beim Rückkehrer um einen jungen, gesunden Mann handelt. Sodann ist in erster Linie ein soziales Netz unabdingbar, welches sich im Hinblick auf die Aufnahme und Wiedereingliederung des Rückkehrers als tragfähig erweist; denn ohne Unterstützung durch Familie oder Bekannte werden die schwierigen Lebensverhältnisse auch in Kabul unweigerlich in eine existenzielle beziehungsweise lebensbedrohende Situation führen. Für einen Rückkehrer aus Europa besteht nach der Ankunft in Kabul ein erhöhtes Risiko, entführt oder überfallen zu werden, da vermutet wird, er trage Devisen auf sich. Verfügt er über keine genügenden finanziellen Mittel, hat er ohne soziale Vernetzung kaum Aussicht auf eine zumutbare - das heisst winterfeste und mit minimaler sanitärer Einrichtung ausgestattete - Unterkunft. Auch für die Arbeitssuche sind persönliche Beziehungen unerlässlich, da eine Einstellung (sogar von unqualifizierten Arbeitskräften) regelmässig nur aufgrund persönlicher Empfehlungen erfolgt. Eine auch nur einigermassen gesunde Ernährung ist ohne die Hilfe von nahestehenden Personen ebenfalls kaum möglich, der Zugang zu sauberem Trinkwasser schwierig; Unterstützungsmassnahmen der Regierung oder internationaler Organisationen könnten laut zuverlässigen Quellen daran nichts ändern. Ohne eine soziale Vernetzung wird daher auch ein junger und grundsätzlich gesunder Mann unweigerlich innert absehbarer Zeit in eine existenzbedrohende Situation geraten (vgl. a.a.O. E. 9.3 ff.).</w:t>
      </w:r>
    </w:p>
    <w:p>
      <w:r>
        <w:rPr>
          <w:b/>
        </w:rPr>
        <w:t>E. 7.4.2</w:t>
      </w:r>
    </w:p>
    <w:p>
      <w:r>
        <w:t>Beim Beschwerdeführer handelt es sich den Akten zufolge um einen heute etwa (...) jährigen alleinstehenden Mann ohne aktenkundige gesundheitliche Probleme aus Kabul, wo er geboren ist und bis zu seiner Ausreise im April 2012 gelebt hat (vgl. act. A29/15 S. 5 F und A46). Er verfügt über eine sechsjährige Schulbildung und hat nebenbei verschiedenen Leuten mit einem kleinen Schubkarren Einkäufe nach Hause transportiert (vgl. act. A8/15 S. 4 f. Ziffn. 1.17.04 und 1.17.05). Er verfügt somit nicht über eine Berufsausbildung im westeuropäischen Sinn, jedoch ist es im afghanischen Kontext durchaus üblich, dass Jugendliche auf diese Art und Weise in die Erwerbstätigkeit einsteigen. Die erworbene Arbeitserfahrung ist daher im Hinblick auf eine Wiedereingliederung in den afghanischen Arbeitsmarkt als nützlich zu erachten. Hinzu kommt, dass der Beschwerdeführer zusätzlich seit nunmehr beinahe zwei Jahren eine Lehre als (...) absolviert, womit er seine Berufserfahrung in der Schweiz erweitern konnte. Der Beschwerdeführer wohnte vor seiner Ausreise aus Afghanistan zusammen mit seinen Eltern und drei Geschwistern (vgl. act. A8/15 S. 5 Ziff. 2.01). Damit verfügt der Beschwerdeführer in Kabul über ein Beziehungsnetz und eine Wohnmöglichkeit. Ausserdem lebt in der Schweiz ein Onkel. Aufgrund der Aktenlage ist davon auszugehen, dass die Eltern und Geschwister des Beschwerdeführers in Afghanistan eher in bescheidenen Verhältnissen leben; möglicherweise werden sie vom in der Schweiz lebenden Bruder beziehungsweise Onkel unterstützt. Der Beschwerdeführer wird in das Haus seiner Eltern zurückkehren und somit über eine gesicherte Wohnmöglichkeit verfügen. Da er in Kabul aufgewachsen und zur Schule gegangen ist, ist überdies wahrscheinlich, dass er dort abgesehen von seinen Familienangehörigen auch noch über Freunde und Bekannte verfügt, die ihm insbesondere bei der Arbeitssuche behilflich sein könnten. Es steht ihm im Übrigen auch offen, beim SEM einen Antrag auf individuelle Rückkehrhilfe zu stellen (vgl. Art. 93 Abs. 1 Bst. d AsylG i.V.m. Art. 73 ff. der Asylverordnung 2 vom 11. August 1999 über Finanzierungsfragen [AsylV 2; SR 142.312]).</w:t>
      </w:r>
    </w:p>
    <w:p>
      <w:r>
        <w:rPr>
          <w:b/>
        </w:rPr>
        <w:t>E. 7.4.3</w:t>
      </w:r>
    </w:p>
    <w:p>
      <w:r>
        <w:t>Damit liegen im vorliegenden Fall begünstigende Umstände im Sin-ne der vorerwähnten Rechtsprechung vor, und es ist nach dem Gesagten nicht anzunehmen, dass der Beschwerdeführer bei einer Rückkehr nach Kabul in eine existenzielle Notlage geraten wird. Der Vollzug der Wegweisung des Beschwerdeführers ist daher nicht als unzumutbar zu erachten.</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dessen Kosten grundsätzlich dem Beschwerdeführer aufzuerlegen (Art. 63 Abs. 1 VwVG). Da das Bundesverwaltungsgericht ihm indessen mit Instruktionsverfügung vom 10. März 2015 die unentgeltliche Prozessführung gewährt und sich an den diesbezüglichen Voraussetzungen nichts geändert hat, sind keine Verfahrenskosten aufzuerlegen.</w:t>
      </w:r>
    </w:p>
    <w:p>
      <w:r>
        <w:rPr>
          <w:b/>
        </w:rPr>
        <w:t>E. 9.2</w:t>
      </w:r>
    </w:p>
    <w:p>
      <w:r>
        <w:t>Mit Instruktionsverfügung vom 10. März 2015 hiess das Bundesverwaltungsgericht das Gesuch um Beiordnung des Rechtsvertreters als unentgeltlicher Rechtsbeistand gut. Gemäss Art. 14 Abs. 1 des Reglements vom 21. Februar 2008 über die Kosten und Entschädigungen vor dem Bundesverwaltungsgericht (VGKE, SR 173.320.2) haben die amtlich bestellten Anwälte und Anwältinnen dem Gericht vor dem Entscheid eine detaillierte Kostennote einzureichen. Gemäss Art. 14 Abs. 2 VGKE setzt das Gericht die Entschädigung für die amtlich bestellten Anwälte und Anwältinnen auf Grund der Kostennote fest. Wird keine Kostennote eingereicht, so setzt das Gericht die Entschädigung aufgrund der Akten fest. Der amtlich bestellte Rechtsvertreter hat keine Honorarnote eingereicht, weshalb das Gericht die auszurichtende Entschädigung von Amtes wegen festsetzt. Gestützt auf die in Betracht zu ziehenden Bemessungsfaktoren (Art. 9 ff. VGKE) ist dem Rechtsbeistand ein Betrag von Fr. 1300. -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