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D-1344/2022 vom 8. März 2022</w:t>
      </w:r>
    </w:p>
    <w:p>
      <w:r>
        <w:t>Bundesverwaltungsgericht, 2022-03-08, DE</w:t>
      </w:r>
    </w:p>
    <w:p>
      <w:r>
        <w:rPr>
          <w:b/>
        </w:rPr>
        <w:t xml:space="preserve">Quelle: </w:t>
      </w:r>
      <w:r>
        <w:t>https://mcp.opencaselaw.ch/entscheid/bvger_D-1344_2022_d20220308</w:t>
      </w:r>
    </w:p>
    <w:p>
      <w:r>
        <w:t>FR: TAF D-1344/2022 du 8 mars 2022</w:t>
      </w:r>
    </w:p>
    <w:p>
      <w:r>
        <w:t>IT: TAF D-1344/2022 del 8 marzo 2022</w:t>
      </w:r>
    </w:p>
    <w:p>
      <w:pPr>
        <w:pStyle w:val="Heading2"/>
      </w:pPr>
      <w:r>
        <w:t>Regeste</w:t>
      </w:r>
    </w:p>
    <w:p>
      <w:r>
        <w:t>Nichteintreten auf Asylgesuch und Wegweisung (Dublin-Verfahren) | Nichteintreten auf Asylgesuch und Wegweisung (Dublin-Verfahren); Verfügung des SEM vom 8. März 2022</w:t>
      </w:r>
    </w:p>
    <w:p>
      <w:pPr>
        <w:pStyle w:val="Heading2"/>
      </w:pPr>
      <w:r>
        <w:t>Erwägungen</w:t>
      </w:r>
    </w:p>
    <w:p>
      <w:r>
        <w:rPr>
          <w:b/>
        </w:rPr>
        <w:t>E. 1</w:t>
      </w:r>
    </w:p>
    <w:p>
      <w:r>
        <w:t>Gemäss Art. 105 AsylG i.V.m. Art. 31 VGG ist das Bundesverwaltungsge- richt zur Beurteilung von Beschwerden auf dem Gebiet des Asyls zuständig und entscheidet über diese in der Regel – wie auch vorliegend – endgültig (vgl. Art. 83 Bst d Ziff. 1 BGG). Die Beschwerdeführerin ist zur Beschwer- deführung legitimiert (Art. 48 Abs. 1 VwVG). Auf die frist- und formgerecht eingereichte Beschwerde ist einzutreten (Art. 108 Abs. 3 AsylG und Art. 52 Abs. 1 VwVG).</w:t>
      </w:r>
    </w:p>
    <w:p>
      <w:r>
        <w:rPr>
          <w:b/>
        </w:rPr>
        <w:t>E. 2.1</w:t>
      </w:r>
    </w:p>
    <w:p>
      <w:r>
        <w:t>Mit Beschwerde können die Verletzung von Bundesrecht (einschliess- lich Missbrauch und Überschreiten des Ermessens) sowie die unrichtige oder unvollständige Feststellung des rechtserheblichen Sachverhalts ge- 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Auf Asylgesuche ist in der Regel nicht einzutreten, wenn Asylsuchende in einen Drittstaat ausreisen können, der für die Durchführung des Asyl- und Wegweisungsverfahrens staatsvertraglich zuständig ist (Art. 31a</w:t>
      </w:r>
    </w:p>
    <w:p>
      <w:r>
        <w:t>D-1344/2022 Seite 5 Abs. 1 Bst. b AsylG). Gemäss Art. 3 Abs. 1 Dublin-III-VO wird jeder Asylan- trag von einem einzigen Mitgliedstaat geprüft, der nach den Kriterien des Kapitels III der Dublin-III-VO als zuständiger Staat bestimmt wird (vgl. auch Art. 7 Abs. 1 Dublin-III-VO).</w:t>
      </w:r>
    </w:p>
    <w:p>
      <w:r>
        <w:rPr>
          <w:b/>
        </w:rPr>
        <w:t>E. 4.2</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die antragstellende Person erstmals einen An- trag in einem Mitgliedstaat gestellt hat, auszugehen (Art. 7 Abs. 2 Dublin- III-VO). Im Rahmen eines Wiederaufnahmeverfahrens (engl.: take back) findet demgegenüber grundsätzlich keine (erneute) Zuständigkeitsprüfung nach Kapitel III statt (vgl. zum Ganzen BVGE 2017 VI/5 E. 6.2 und 8.2.1 m.w.H.).</w:t>
      </w:r>
    </w:p>
    <w:p>
      <w:r>
        <w:rPr>
          <w:b/>
        </w:rPr>
        <w:t>E. 4.3</w:t>
      </w:r>
    </w:p>
    <w:p>
      <w:r>
        <w:t>Besitzt eine antragstellende Person ein gültiges Visum, so ist grund- sätzlich der Mitgliedstaat, der das Visum erteilt hat, für die Prüfung des Antrags auf internationalen Schutz zuständig (Art. 12 Abs. 2 Dublin-III-VO).</w:t>
      </w:r>
    </w:p>
    <w:p>
      <w:r>
        <w:rPr>
          <w:b/>
        </w:rPr>
        <w:t>E. 4.4</w:t>
      </w:r>
    </w:p>
    <w:p>
      <w:r>
        <w:t>Erweist es sich als unmöglich, eine antragstellende Person in den ei- 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 Behandlung im Sinne von Artikel 4 der Charta der Grundrechte der Euro- päischen Union (2012/C 326/02, nachfolgend: EU-Grundrechtecharta) mit sich bringen, ist zu prüfen, ob aufgrund dieser Kriterien ein anderer Mit- gliedstaat als zuständig bestimmt werden kann. Kann kein anderer Staat als zuständig bestimmt werden, wird der die Zuständigkeit prüfende Mit- gliedstaat zum zuständigen Mitgliedstaat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w:t>
      </w:r>
    </w:p>
    <w:p>
      <w:r>
        <w:t>D-1344/2022 Seite 6 VO ein anderer Staat zuständig wäre. Liegen individuelle völkerrechtliche Überstellungshindernisse vor, ist der Selbsteintritt zwingend (vgl. BVGE 2015/9 E. 8.2.1).</w:t>
      </w:r>
    </w:p>
    <w:p>
      <w:r>
        <w:rPr>
          <w:b/>
        </w:rPr>
        <w:t>E. 5.1</w:t>
      </w:r>
    </w:p>
    <w:p>
      <w:r>
        <w:t>Ein Abgleich mit dem Visa-Informationssystem (CS-VIS) ergab, dass der Beschwerdeführerin von Deutschland ein vom 12. November 2021 bis zum 11. Februar 2022 gültiges Visum ausgestellt worden war (vgl. A11/3). Das SEM ersuchte die deutschen Behörden deshalb am 11. Februar 2022 um Übernahme der Beschwerdeführerin gestützt auf Art. 12 Abs. 2 Dublin- III-VO (vgl. A14/7). Dem Ersuchen wurde am 22. Februar 2022 entspro- chen (vgl. A16/2), weshalb Deutschland grundsätzlich für die Durchführung des Asyl- und Wegweisungsverfahrens zuständig ist.</w:t>
      </w:r>
    </w:p>
    <w:p>
      <w:r>
        <w:rPr>
          <w:b/>
        </w:rPr>
        <w:t>E. 5.2</w:t>
      </w:r>
    </w:p>
    <w:p>
      <w:r>
        <w:t>Die Beschwerdeführerin bestreitet denn nicht, vorgenanntes Visum er- halten zu haben; indessen brachte sie vor, es sei nur Mittel zum Zweck und die Schweiz immer ihr Zielland gewesen. Ihrem Verlobten sei in der Schweiz Asyl gewährt worden und sie hätten hierzulande ein Ehevorberei- tungsverfahren eingeleitet. Zudem erwarteten sie ein gemeinsames Kind. Aus dieser Beziehung ergebe sich eine Zuständigkeit der Schweiz für ihr Asylverfahren gestützt auf Art. 9 Dublin-III-VO, da sie angesichts ihrer als dauerhaft zu bezeichnenden Beziehung als Familienangehörige ihres Ver- lobten im Sinne von Art. 2 Bst. g Dublin-III-VO zu qualifizieren sei.</w:t>
      </w:r>
    </w:p>
    <w:p>
      <w:r>
        <w:rPr>
          <w:b/>
        </w:rPr>
        <w:t>E. 5.3</w:t>
      </w:r>
    </w:p>
    <w:p>
      <w:r>
        <w:t>Unbestrittenermassen ist das Paar im vorliegenden Fall nicht (zivil- rechtlich) verheiratet. Den Akten sind denn auch keine Hinweise auf das Führen einer eheähnlichen dauerhaften Beziehung im Sinne von Art. 2 Bst. g Dublin-III-VO zu entnehmen. Die wiederholten Erklärungsversuche, der Verlobte habe die Beschwerdeführerin in seinem Asylverfahren aus Si- cherheitsgründen unerwähnt gelassen, sind als reine Schutzbehauptung zu werten. Es ist davon auszugehen, hätte er tatsächlich in einer dauerhaf- ten Beziehung mit Heiratsabsichten zur Beschwerdeführerin gestanden und wäre dementsprechend um ihre Sicherheit besorgt gewesen, er nach seiner Ausreise schnellstmöglich ein Verfahren um Familiennachzug ein- geleitet hätte. Der Verweis auf das mittlerweile hierzulande eingeleitete Ehevorbereitungsverfahren (vgl. Beschwerdebeilage 11) vermag daran ebenso wenig etwas zu ändern, sowie die im erstinstanzlichen Verfahren und auf Beschwerdeebene eingereichten Fotografien, welche mehrheitlich undatiert sind respektive aus dem Jahr 2016 stammen. Zwar ist anhand der auf Beschwerdeebene eingereichten Passkopien und Zugfahrkarten davon auszugehen, dass sich die Beschwerdeführerin im Sommer 2017</w:t>
      </w:r>
    </w:p>
    <w:p>
      <w:r>
        <w:t>D-1344/2022 Seite 7 und 2018 für wenige Wochen in der Schweiz aufhielt, doch geht daraus keineswegs hervor, dass sie in dieser Zeit Kontakt zu ihrem Verlobten ge- habt respektive ihn persönlich getroffen hätte. Einen Beleg – beispiels- weise mittels schriftlicher Nachrichten – für den geltend gemachten engen Kontakt bleibt die Beschwerdeführerin denn auch schuldig. Folglich ver- mag die Beschwerdeführerin aus Art. 9 i.V.m. Art. 2 Bst. g Dublin-III-VO nichts zu ihren Gunsten abzuleiten.</w:t>
      </w:r>
    </w:p>
    <w:p>
      <w:r>
        <w:rPr>
          <w:b/>
        </w:rPr>
        <w:t>E. 5.4</w:t>
      </w:r>
    </w:p>
    <w:p>
      <w:r>
        <w:t>Nach ständiger Rechtsprechung des Bundesverwaltungsgerichts weist das Asylverfahren in Deutschland denn auch keine systemischen Schwachstellen im Sinne von Art. 3 Abs. 2 Dublin-III-VO auf (vgl. anstelle vieler Urteil des BVGer F-464/2021 vom 8. Februar 2021 E. 5.1 m.H.). Es gibt somit keinen Grund für die Anwendung von Art. 3 Abs. 2 Dublin-III-VO. Die Beschwerdeführerin macht solches zu Recht auch nicht geltend.</w:t>
      </w:r>
    </w:p>
    <w:p>
      <w:r>
        <w:rPr>
          <w:b/>
        </w:rPr>
        <w:t>E. 5.5</w:t>
      </w:r>
    </w:p>
    <w:p>
      <w:r>
        <w:t>Deutschland ist nach dem Gesagten zur Prüfung des Asylgesuchs staatsvertraglich zuständig.</w:t>
      </w:r>
    </w:p>
    <w:p>
      <w:r>
        <w:rPr>
          <w:b/>
        </w:rPr>
        <w:t>E. 6.1</w:t>
      </w:r>
    </w:p>
    <w:p>
      <w:r>
        <w:t>Weiter fordert die Beschwerdeführerin in Anwendung der Ermessens- klauseln von Art. 17 Abs. 1 Dublin-III-VO sowie Art. 29a Abs. 3 AsylV 1 ei- nen Selbsteintritt der Schweiz und macht in diesem Zusammenhang eine Verletzung von Art. 8 EMRK geltend.</w:t>
      </w:r>
    </w:p>
    <w:p>
      <w:r>
        <w:rPr>
          <w:b/>
        </w:rPr>
        <w:t>E. 6.2.1</w:t>
      </w:r>
    </w:p>
    <w:p>
      <w:r>
        <w:t>Zum geschützten Familienkreis von Art. 8 EMRK gehört in erster Li- nie die Kernfamilie, das heisst die Gemeinschaft der Ehegatten mit ihren minderjährigen Kindern (BGE 144 II 1 E. 6.1; 135 I 143 E. 1.3.2). Gemäss der Rechtsprechung des Bundesverwaltungsgerichts sind Konkubinats- partner den Ehegatten gleichgestellt und können sich somit ebenfalls auf Art. 8 EMRK berufen (vgl. BGE 129 II 11 E. 2; BVGE 2008/47 E. 4.1.1; 2013/49 E. 8), doch setzt die Inanspruchnahme der Garantie gemäss der Praxis des Europäischen Gerichtshofs für Menschenrechte (EGMR) ein tatsächlich bestehendes Familienleben voraus (vgl. das Urteil des EGMR i.S. K. und T. gegen Finnland vom 12. Juli 2001, Grosse Kammer, Nr. 25702/94, § 150; vgl. dazu auch das Urteil des BVGer D-4736/2021 vom 4. November 2021). Wesentliche Faktoren einer tat- sächlich gelebten Beziehung sind dabei das gemeinsame Wohnen respek- tive der gemeinsame Haushalt, die finanzielle Verflochtenheit, die Dauer und Stabilität der Beziehung sowie das Interesse und die Bindung der Part-</w:t>
      </w:r>
    </w:p>
    <w:p>
      <w:r>
        <w:t>D-1344/2022 Seite 8 ner aneinander (vgl. CHRISTOPH GRABENWARTER/KATHARINA PABEL, Euro- päische Menschenrechtskonvention, 6. Aufl., München 2016, S. 288 § 22 Rz. 16; MARK E. VILLIGER, Handbuch der Europäischen Menschenrechts- konvention, 2. Aufl., 1999, S. 365).</w:t>
      </w:r>
    </w:p>
    <w:p>
      <w:r>
        <w:rPr>
          <w:b/>
        </w:rPr>
        <w:t>E. 6.2.2</w:t>
      </w:r>
    </w:p>
    <w:p>
      <w:r>
        <w:t>Die Vorinstanz geht vorliegend zu Recht nicht von einer gelebten Beziehung aus; denn mangelt es bereits an deren Stabilität (vgl. auch E 5.2 hiervor) und einem gemeinsamen Haushalt als wesentliche Kriterien. Al- leine die nicht weiter belegte Behauptung, ab 2015 hätten die Beschwer- deführerin und ihr Verlobter gemeinsam in der Türkei die Wohnung seiner Eltern bewohnt (vgl. A18/20 S.2), lässt nicht auf ein im vorstehend darge- legten Sinne tatsächlich gelebtes Familienleben schliessen, ist doch unbe- stritten, dass solches (spätestens) ab dem (…) – der Einreise des Verlob- ten in die Schweiz – nicht mehr der Fall war (vgl. A1/2). Auch bestehen Zweifel an seiner Absicht einer Bindung zu ihr, finden sich doch in den Ak- ten keinerlei Hinweise darauf, er hätte sich je in irgendeiner Weise um das Zusammenleben mit der Beschwerdeführerin bemüht (vgl. auch E. 5.2 hier- vor). Ebenso wenig lassen sich den Akten Bemühungen des Verlobten ent- nehmen, das ungeborene Kind der Beschwerdeführerin als seines anzuer- kennen, obgleich die Kindsanerkennung gemäss Art. 11 Abs. 2 der Zivil- standsverordnung vom 28. April 2004 (ZStV, SR 211.112.2) bereits vor der Geburt erfolgen kann. Bezüglich des mittlerweile eingeleiteten Ehevorbe- reitungsverfahrens ist es der Beschwerdeführerin denn auch zuzumuten, dieses im Ausland abzuwarten, zumal es ihr unbenommen ist, zu gegebe- ner Zeit für die Eheschliessung einen Antrag auf eine entsprechende Kurz- aufenthaltsbewilligung und anschliessend ein Gesuch um Familiennach- zug zu stellen. Das von der Beschwerdeführerin eingeleitete Asylverfahren ist hierfür nicht das vorgesehene rechtliche Instrument, verfolgt es doch primär nicht den Zweck einer Familienzusammenführung, sondern dient der Klärung der Frage, ob die antragsstellende Person internationalen Schutzes bedarf.</w:t>
      </w:r>
    </w:p>
    <w:p>
      <w:r>
        <w:rPr>
          <w:b/>
        </w:rPr>
        <w:t>E. 6.3</w:t>
      </w:r>
    </w:p>
    <w:p>
      <w:r>
        <w:t>Im Übrigen lassen sich den Akten keine Hinweise entnehmen, wonach die Beschwerdeführerin an gesundheitlichen Beschwerden leidet, die einer Überstellung nach Deutschland entgegenstünden. Die im Dublin-Gespräch vorgebrachte Übelkeit (vgl. A12/3) stand im Zusammenhang mit der Schwangerschaft. Hinweise darauf, diese könnte komplikationsreich sein, finden sich in den Akten nicht und werden auf Beschwerdeebene auch nicht geltend gemacht. Ohnehin verfügt Deutschland über eine mit der Schweiz in allen Bereichen vergleichbare medizinische Infrastruktur (statt vieler: Urteil des BVGer F-3990/2020 vom 14. August 2020 E.4.3.3). Es ist</w:t>
      </w:r>
    </w:p>
    <w:p>
      <w:r>
        <w:t>D-1344/2022 Seite 9 somit davon auszugehen, dass die nötigen Vorsorgeleistungen und im Be- darfsfall eine adäquate medizinische Behandlung gewährleistet sind.</w:t>
      </w:r>
    </w:p>
    <w:p>
      <w:r>
        <w:rPr>
          <w:b/>
        </w:rPr>
        <w:t>E. 6.4</w:t>
      </w:r>
    </w:p>
    <w:p>
      <w:r>
        <w:t>Nach dem Gesagten sind keine völkerrechtlichen Überstellungshinder- nisse ersichtlich, weshalb die Schweiz nicht zum Selbsteintritt verpflichtet ist.</w:t>
      </w:r>
    </w:p>
    <w:p>
      <w:r>
        <w:rPr>
          <w:b/>
        </w:rPr>
        <w:t>E. 6.5</w:t>
      </w:r>
    </w:p>
    <w:p>
      <w:r>
        <w:t>Bezüglich des Vorliegens von «humanitären Gründen» ist Folgendes festzuhalten: Gemäss Praxis des Bundesverwaltungsgerichts verfügt das SEM bei der Anwendung der Kann-Bestimmung von Art. 29a Abs. 3 AsylV 1 über einen Ermessensspielraum (vgl. BVGE 2015/9 E. 7 f.). Es be- schränkt seine Beurteilung im Wesentlichen darauf, ob das SEM den Sach- 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 pektive Unterschreiten des Ermessens zu entnehmen.</w:t>
      </w:r>
    </w:p>
    <w:p>
      <w:r>
        <w:rPr>
          <w:b/>
        </w:rPr>
        <w:t>E. 7</w:t>
      </w:r>
    </w:p>
    <w:p>
      <w:r>
        <w:t>Von einer Rückweisung der Sache aufgrund einer Gehörsverletzung ist ab- zusehen, zumal die Beschwerdeführerin ihren Rückweisungsantrag nicht begründet hat. Im Übrigen ergeben sich auch aus den Akten keinerlei Hin- weise auf eine Verletzung des rechtlichen Gehörs. Nach dem Gesagten besteht kein Anlass für die Rückweisung der Sache an die Vorinstanz. Der entsprechende Eventualantrag ist somit abzuweisen.</w:t>
      </w:r>
    </w:p>
    <w:p>
      <w:r>
        <w:rPr>
          <w:b/>
        </w:rPr>
        <w:t>E. 8</w:t>
      </w:r>
    </w:p>
    <w:p>
      <w:r>
        <w:t>Die Vorinstanz ist demnach zu Recht gestützt auf Art. 31a Abs. 1 Bst. b AsylG auf das Asylgesuch der Beschwerdeführerin nicht eingetreten und hat zu Recht die Überstellung nach Deutschland angeordnet. Nach dem Gesagten ist die Beschwerde abzuweisen. Die Gesuche um Erteilung der aufschiebenden Wirkung sowie um Verzicht auf die Erhebung eines Kos- tenvorschusses sind mit dem vorliegenden Entscheid in der Sache gegen- standslos geworden.</w:t>
      </w:r>
    </w:p>
    <w:p>
      <w:r>
        <w:rPr>
          <w:b/>
        </w:rPr>
        <w:t>E. 9</w:t>
      </w:r>
    </w:p>
    <w:p>
      <w:r>
        <w:t>Das Gesuch um Gewährung der unentgeltlichen Prozessführung ist abzu- weisen, da die Begehren – wie sich aus den vorstehenden Erwägungen ergibt – als aussichtslos zu bezeichnen sind.</w:t>
      </w:r>
    </w:p>
    <w:p>
      <w:r>
        <w:t>D-1344/2022 Seite 10 Bei diesem Ausgang des Verfahrens sind die Kosten der Beschwerdefüh- rerin aufzuerlegen (Art. 63 Abs. 1 VwVG) und auf insgesamt Fr. 750.– fest- zusetzen (Art. 1–3 des Reglements vom 21. Februar 2008 über die Kosten und Entschädigungen vor dem Bundesverwaltungsgericht [VGKE, SR 173.320.2]). (Dispositiv nächste Seite)</w:t>
      </w:r>
    </w:p>
    <w:p>
      <w:r>
        <w:t>D-1344/2022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