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D-1344/2010 vom 18. November 2010</w:t>
      </w:r>
    </w:p>
    <w:p>
      <w:r>
        <w:t>Bundesverwaltungsgericht, 2010-11-18, DE</w:t>
      </w:r>
    </w:p>
    <w:p>
      <w:r>
        <w:rPr>
          <w:b/>
        </w:rPr>
        <w:t xml:space="preserve">Quelle: </w:t>
      </w:r>
      <w:r>
        <w:t>https://mcp.opencaselaw.ch/entscheid/bvger_D-1344_2010</w:t>
      </w:r>
    </w:p>
    <w:p>
      <w:r>
        <w:t>FR: TAF D-1344/2010 du 18 novembre 2010</w:t>
      </w:r>
    </w:p>
    <w:p>
      <w:r>
        <w:t>IT: TAF D-1344/2010 del 18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indessen aus prozessökonomischen Gründen verzichtet werden, da die englischsprachige Beschwerdeeingabe verständlich ist, so dass ohne Weiteres darüber befunden werden kann. Der vorliegende Entscheid ergeht indessen in deutscher Sprache (Art. 33 a Abs. 2 VwVG i.V.m. Art. 6 AsylG).</w:t>
      </w:r>
    </w:p>
    <w:p>
      <w:r>
        <w:rPr>
          <w:b/>
        </w:rPr>
        <w:t>E. 1.3</w:t>
      </w:r>
    </w:p>
    <w:p>
      <w:r>
        <w:t>Vorliegend wurde der Entscheid des BFM via die Schweizer Botschaft in Colombo am 21. Januar 2010 an die Beschwerdeführerin versandt (vgl. Sachverhalt Bst. D). Da sich kein Rückschein bei den Akten befindet, steht vorliegend der Zeitpunkt der Eröffnung der angefochtenen Verfügung nicht fest. Da die Beweislast für die Zustellung an die Partei der eröffnenden Behörde obliegt (vgl. André Moser/Michael Beusch/Lorenz Kneubühler, Prozessieren vor dem Bundesverwaltungsgericht, Basel 2008, Rz. 3.150, S. 166 f.), ist zugunsten der Beschwerdeführerin davon auszugehen, dass die am 24. Februar 2010 bei der Botschaft in Colombo eingegangene Beschwerde (vgl. Sachverhalt Bst. E) rechtzeitig erfolgt ist.</w:t>
      </w:r>
    </w:p>
    <w:p>
      <w:r>
        <w:rPr>
          <w:b/>
        </w:rPr>
        <w:t>E. 1.4</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 formaljuristisch betrachtet - frist- und - vom sprachlichen Mangel abgesehen -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w:t>
      </w:r>
    </w:p>
    <w:p>
      <w:r>
        <w:t>Die Beschwerdeführerin begründete ihr Asylgesuch im Wesentlichen damit, sie werde mutmasslich von Angehörigen der TMVP wegen der politischen Vergangenheit ihres verstorbenen Ehemannes bedroht und fürchte deshalb um ihr Leben.</w:t>
      </w:r>
    </w:p>
    <w:p>
      <w:r>
        <w:rPr>
          <w:b/>
        </w:rPr>
        <w:t>E. 5.1</w:t>
      </w:r>
    </w:p>
    <w:p>
      <w:r>
        <w:t>Wie das BFM in seiner Verfügung vom 6. Januar 2010 indessen zutreffend festgestellt hat, ist - so bedauerlich der Tod des vormaligen Ehemannes in E._______ für die Beschwerdeführerin auch ist - festzuhalten, dass in keiner Weise plausibel erscheint, weshalb die srilankischen Behörden oder regierungsnahe paramilitärische Gruppierungen nach dessen Tod und nach der militärischen Niederlage der LTTE gegen die srilankischen Regierungstruppen im Mai 2009 noch irgendein Interesse daran haben könnten, die Beschwerdeführerin zu belästigen beziehungsweise zu bedrohen. Denn mit seinem Tod im Februar 2008 in E._______ ist bei vernünftiger Betrachtungsweise auch der Annahme, sie selbst könne wegen dessen politischer Vergangenheit in der LTTE immer noch einer Reflexverfolgung ausgesetzt sein, jegliche Grundlage entzogen. Demgegenüber hat die Beschwerdeführerin trotz mehrmaligem Nachfragen während der Botschaftsanhörung stets entschieden in Abrede gestellt, jemals persönliche Verbindungen zu den LTTE unterhalten zu haben oder gar Mitglied derselben gewesen zu sein (vgl. Anhörungsprotokoll S. 8 Ziff. 6.2 und S. 9 oben). Vor diesem Hintergrund sind keine nachvollziehbaren Gründe dafür ersichtlich, weshalb die Beschwerdeführerin wegen der im heutigen Zeitpunkt notabene mehr als zehn Jahre zurückliegenden angeblichen Aktivitäten ihres Ehemannes für die LTTE aktuell noch Verfolgungshandlungen seitens des srilankischen Staates oder Dritter zu gewärtigen hätte. Dass die diesbezüglichen Behelligungen darauf zurückzuführen seien, dass ihre Verfolger sie heute zu Unrecht entsprechender Verbindungen zu den LTTE verdächtigten, weil sie selbst aus B._______ in G._______ (...) stamme (vgl. Beschwerde S. 2 oben), erscheint mit Blick auf die gesamte Aktenlage bloss als unbehelflicher Versuch der Beschwerdeführerin, nachträglich einen asylrelevanten Sachverhalt zu konstruieren.</w:t>
      </w:r>
    </w:p>
    <w:p>
      <w:r>
        <w:rPr>
          <w:b/>
        </w:rPr>
        <w:t>E. 5.2</w:t>
      </w:r>
    </w:p>
    <w:p>
      <w:r>
        <w:t>Nur nebenbei sei daher erwähnt, dass es den unbekannten Personen wohl ohne Weiteres möglich gewesen wäre, der Beschwerdeführerin habhaft zu werden, falls sie tatsächlich ein eminentes Interesse daran gehabt hätten, sich mit ihr zu treffen und über ihren verstorbenen Ehemann zu sprechen. Um weitere Wiederholungen zu vermeiden, kann bezüglich weiterer Einzelheiten auf die zutreffenden Ausführungen in der angefochtenen Verfügung verwiesen werden, denen nichts hinzuzufügen ist.</w:t>
      </w:r>
    </w:p>
    <w:p>
      <w:r>
        <w:rPr>
          <w:b/>
        </w:rPr>
        <w:t>E. 5.3</w:t>
      </w:r>
    </w:p>
    <w:p>
      <w:r>
        <w:t>Zusammenfassend ist festzustellen, dass es der Beschwerdeführerin nicht gelungen ist, eine Verfolgung im Sinne von Art. 3 AsylG glaubhaft zu machen. Es erübrigt sich daher, auf weitere Vorbringen in der Beschwerde beziehungsweise das auf Rekursebene eingereichte Beweismittel näher einzugehen, da diese keine neuen Begründungselemente enthalten, welche geeignet wären, die Einschätzung des BFM entscheidend zu relativieren. Das BFM hat demnach der Beschwerdeführerin zu Recht die Einreise in die Schweiz verweigert beziehungsweise deren Asylgesuch abgelehnt.</w:t>
      </w:r>
    </w:p>
    <w:p>
      <w:r>
        <w:rPr>
          <w:b/>
        </w:rPr>
        <w:t>E. 5.4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dessen Kosten grundsätzlich der Beschwerdeführerin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