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D-1338/2023 vom 13. Dezember 2024</w:t>
      </w:r>
    </w:p>
    <w:p>
      <w:r>
        <w:t>Bundesverwaltungsgericht, 2024-12-13, DE</w:t>
      </w:r>
    </w:p>
    <w:p>
      <w:r>
        <w:rPr>
          <w:b/>
        </w:rPr>
        <w:t xml:space="preserve">Quelle: </w:t>
      </w:r>
      <w:r>
        <w:t>https://mcp.opencaselaw.ch/entscheid/bvger_D-1338_2023</w:t>
      </w:r>
    </w:p>
    <w:p>
      <w:r>
        <w:t>FR: TAF D-1338/2023 du 13 décembre 2024</w:t>
      </w:r>
    </w:p>
    <w:p>
      <w:r>
        <w:t>IT: TAF D-1338/2023 del 13 dicembre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w:t>
      </w:r>
    </w:p>
    <w:p>
      <w:r>
        <w:t>D-1338/2023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sowie Art. 48 Abs. 1 VwVG). Auf die frist- und form- gerecht eingereichte Beschwerde ist einzutreten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D-1338/2023 Seite 5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der angefochtenen Verfügung führte das SEM unter Verweis auf Urteil des Bundesverwaltungsgerichts E-3638/2022 vom</w:t>
      </w:r>
    </w:p>
    <w:p>
      <w:r>
        <w:rPr>
          <w:b/>
        </w:rPr>
        <w:t>E. 4.2</w:t>
      </w:r>
    </w:p>
    <w:p>
      <w:r>
        <w:t>In der Beschwerdeschrift machen die Beschwerdeführenden nament- lich geltend, die Vorinstanz habe in einer Medienmitteilung vom 2. Juni 2022 festgelegt, dass binationale Paare keinen Anspruch auf den Schutz- status S hätten, wenn eine der beiden Personen die Staatsangehörigkeit eines EU/EFTA+-Staates besitze. Diese Einschränkung sei jedoch rechts- staatlich problematisch, da keine ausreichende Rechtsgrundlage für diese Auslegung bestehe. Das Vorgehen der Vorinstanz, binationale Paare vom Schutz auszuschliessen, müsse daher gerichtlich überprüft werden. Der</w:t>
      </w:r>
    </w:p>
    <w:p>
      <w:r>
        <w:t>D-1338/2023 Seite 6 Bundesrat habe den Kreis der schutzberechtigten Personen in der Ausle- gung der Ziff. 1 lit. a der Allgemeinverfügung ausdrücklich als „schutzsu- chende ukrainische Staatsbürgerinnen und -bürger und ihre Familienange- hörigen“ definiert. Er habe dabei explizit nicht verlangt, dass die Familien- angehörigen ebenfalls die ukrainische Staatsangehörigkeit besitzen müss- ten, womit auch ausländische Ehepartner und Kinder von ukrainischen Staatsangehörigen unter den Schutzstatus fallen würden. Dies sei eben- falls nach grammatikalischer, systematischer, teleologischer sowie einer Auslegung nach Art. 8 EMRK angezeigt. Indem die Vorinstanz die Bestim- mungen der Allgemeinverfügung missachte, welche keine Einschränkun- gen für binationale Paare vorsehe – in der Kategorie von Ziff. I lit. c hinge- gen habe der Bundesrat ausdrücklich eine solche Einschränkung statuiert – verletze sie Bundesrecht. Das von der Vorinstanz zitierte Urteil E-3638/2022 vom 5. Dezember 2022 erwähne lediglich eingangs binatio- nale Familien und Paare (E. 6.3), die gesamte darauffolgende Analyse stütze sich jedoch ausschliesslich auf die Konstellation für Doppelbürger. In diesen Fällen komme das Bundesverwaltungsgericht mittels teleologi- scher Reduktion zum Schluss, es bestehe aufgrund einer valablen Schutz- alternative kein Schutzbedarf. Dies sei im Hinblick auf das Subsidiaritäts- prinzip angezeigt. Die Situation binationaler Paare sei jedoch differenzier- ter zu betrachten. So verfüge die Beschwerdeführerin lediglich über die uk- rainische und der Beschwerdeführer und das gemeinsame Kind aus- schliesslich über die lettische Staatsbürgerschaft. Die Beschwerdeführerin gehöre somit zweifelsfrei zur Personenkategorie der Ziff. 1 lit. a der Allge- meinverfügung, weshalb ihr und ihren Familienangehörigen in der Schweiz vorübergehender Schutz zu gewähren sei. Andernfalls sei die Sache er- neut zur Neubeurteilung und zur rechtsgenüglichen Begründung an die Vo- rinstanz zurückzuweisen, da die Vorinstanz es erneut unterlassen habe, auszuführen und zu begründen, weshalb sie nicht in die Personenkatego- rien der Allgemeinverfügung fielen.</w:t>
      </w:r>
    </w:p>
    <w:p>
      <w:r>
        <w:rPr>
          <w:b/>
        </w:rPr>
        <w:t>E. 4.3</w:t>
      </w:r>
    </w:p>
    <w:p>
      <w:r>
        <w:t>In ihrer Vernehmlassung vom 28. März 2023 fügte die Vorinstanz er- gänzend hinzu, dass der Beschwerdeführer und sein Sohn als lettische Staatsangehörige nach den Bestimmungen des «Abkommens vom 21. Juni 1999 zwischen der Schweizerischen Eidgenossenschaft einer- seits und der Europäischen Gemeinschaft und ihren Mitgliedstaaten ande- rerseits über die Freizügigkeit» (FZA, SR 0.142.112.681) grundsätzlich über das Recht auf Einreise und Aufenthalt in der Schweiz wie auch über eine Anspruchsgrundlage für die Erteilung einer Aufenthaltsbewilligung so- wie das Recht auf einen Familiennachzug verfügten. Was die Beschwer- deführerin betreffe, so könne sie basierend auf der «Richtlinie über das</w:t>
      </w:r>
    </w:p>
    <w:p>
      <w:r>
        <w:t>D-1338/2023 Seite 7 Recht von Unionsbürgern und ihrer Familienangehörigen» (EU-Richtline 2004/38/EG) in Lettland zu einem regulären Aufenthaltstitel mittels Famili- ennachzug gelangen.</w:t>
      </w:r>
    </w:p>
    <w:p>
      <w:r>
        <w:rPr>
          <w:b/>
        </w:rPr>
        <w:t>E. 4.4</w:t>
      </w:r>
    </w:p>
    <w:p>
      <w:r>
        <w:t>In ihrer Replik vom 30. März 2023 entgegneten die Beschwerdeführen- den, die Ausführungen der Vorinstanz seien rechtlich zwar nachvollziehbar, zielten aber erneut an der zentralen Frage vorbei, ob binationale Paare, bei welchen nur eine der beiden Personen die alleinige ukrainische Staats- bürgerschaft besitze, unter Ziff. 1 lit. a der Allgemeinverfügung fallen würden.</w:t>
      </w:r>
    </w:p>
    <w:p>
      <w:r>
        <w:rPr>
          <w:b/>
        </w:rPr>
        <w:t>E. 5</w:t>
      </w:r>
    </w:p>
    <w:p>
      <w:r>
        <w:t>Dezember 2022 im Wesentlichen aus, der Beschwerdeführer und sein minderjähriges Kind verfügten über die lettische Staatsbürgerschaft und es lägen keine Anhaltspunkte vor, die einer Ausreise nach Lettland zusammen mit seiner ukrainischen Ehefrau entgegenstünden. Lettland sei ein Staat der Europäischen Union (EU) beziehungsweise der Europäischen Freihan- delsassoziation (EFTA), weshalb die Regelvermutung bestehe, dass sich der Beschwerdeführer und sein Kind dort sicher und dauerhaft aufhalten könnten. Aus den Akten ergebe sich nichts Gegenteiliges. Der Beschwer- deführer und sein Kind gehörten somit nicht zur Gruppe der schutzberech- tigten Personen im Sinne der Allgemeinverfügung. Auch die Tatsache, dass die Beschwerdeführerin nur die ukrainische Staatsangehörigkeit besitze, stehe der Verweigerung des vorübergehenden Schutzes in der Schweiz nicht entgegen. So hätten Ehegatten und minderjährige Kinder von Staats- angehörigen eines EU/EFTA+-Staates als Familienangehörige ebenfalls Anspruch auf ein Aufenthaltsrecht gestützt auf den Familiennachzug im entsprechenden Staat. Damit sei das Subsidiaritätsprinzip auch auf sie an- wendbar.</w:t>
      </w:r>
    </w:p>
    <w:p>
      <w:r>
        <w:rPr>
          <w:b/>
        </w:rPr>
        <w:t>E. 5.1</w:t>
      </w:r>
    </w:p>
    <w:p>
      <w:r>
        <w:t>Die Beschwerdeführerin fällt als ukrainische Staatsangehörige, die vor dem 24. Februar 2022 in der Ukraine wohnhaft war, grundsätzlich in die Personenkategorie von Ziff. I Bst. a der Allgemeinverfügung des Bundes- rates vom 11. März 2022.</w:t>
      </w:r>
    </w:p>
    <w:p>
      <w:r>
        <w:rPr>
          <w:b/>
        </w:rPr>
        <w:t>E. 5.2</w:t>
      </w:r>
    </w:p>
    <w:p>
      <w:r>
        <w:t>Nach der Praxis des SEM erhalten schutzsuchende binationale Paare und Familien in Anwendung des flüchtlingsrechtlichen Subsidiaritätsprin- zips jedoch keinen vorübergehenden Schutz in der Schweiz, wenn eine der beiden Personen respektive ein Elternteil über eine Staatsbürgerschaft in einem EU/EFTA+-Staat verfügt und das Paar beziehungsweise die Familie in diesem Staat Schutz finden kann (vgl. SEM-Medienmitteilung «Ukraine: Schutzstatus S kann bei ausgedehnten Heimatreisen widerrufen werden» vom 2. Juni 2022, https://www.sem.admin.ch/sem/de/home/sem/me- dien/mm.msg-id-89100.html, zuletzt abgerufen am 12. November 2024; SEM-Handbuch Asyl und Rückkehr, Artikel C10, Die Schutzbedürftigkeit und Gewährung vorübergehenden Schutzes, Ziff. 2.2.2, S. 10).</w:t>
      </w:r>
    </w:p>
    <w:p>
      <w:r>
        <w:rPr>
          <w:b/>
        </w:rPr>
        <w:t>E. 5.3</w:t>
      </w:r>
    </w:p>
    <w:p>
      <w:r>
        <w:t>Das Bundesverwaltungsgericht hat diese Praxis inzwischen bestätigt (vgl. BVGE 2022 VI/1). Demnach sind ukrainische Staatsangehörige, wel- che in einem EU/EFTA+-Staat bereits über eine wirksame Schutzalterna- tive verfügen, nicht als schutzbedürftig im Sinne von Art. 4 AsylG zu be- zeichnen. Binationale Paare und Familien aus EU/EFTA+-Staaten sind durch die Staatsangehörigkeit des (zweiten) Heimatstaates einer Person bereits wirksam vor der Situation in der Ukraine geschützt und deshalb nicht auf die zusätzliche Schutzgewährung der Schweiz angewiesen (vgl. BVGE 2022 VI/1, E. 6.3). Dies ist auch dann zu bejahen, wenn die betroffenen Personen – so wie im vorliegenden Fall – keine doppelte Staatsbürgerschaft besitzen. Der Wortlaut von Ziff. I Bst. a der Allgemein- verfügung weist diesbezüglich eine schliessungsbedürftige unechte Lücke</w:t>
      </w:r>
    </w:p>
    <w:p>
      <w:r>
        <w:t>D-1338/2023 Seite 8 auf (vgl. dazu BVGE 2022 VI/1 E. 6 und das Urteil des BVGer D-2430/2022 vom 5. September 2023, E. 6.2.1), welche die Anwendung des im Asylrecht geltenden Subsidiaritätsprinzips gebietet. Eine andernfalls existierende Besserstellung von Schutzsuchenden gegenüber Asylsuchenden wäre stossend und nicht im Sinne des Gesetzgebers (vgl. BVGE 2022 VI/1 E. 6.3). Die entsprechende Auslegung durch die Vorinstanz ist somit nicht zu beanstanden. Ebenso wenig kann den Ausführungen in der Be- schwerde gefolgt werden, wonach sich das Urteil des BVGer D-3638/2022 vom 5. Dezember 2022 lediglich mit der Situation von Doppelbürgern be- fasse. Aus dem Wortlaut sowie der Schlussfolgerung (vgl. E. 6.1) geht deutlich hervor, dass binationale Paare und Familien ohne Doppelbürger- schaft davon ebenso erfasst sind.</w:t>
      </w:r>
    </w:p>
    <w:p>
      <w:r>
        <w:rPr>
          <w:b/>
        </w:rPr>
        <w:t>E. 5.4</w:t>
      </w:r>
    </w:p>
    <w:p>
      <w:r>
        <w:t>Vorliegend ist unbestritten, dass die Beschwerdeführerin ausschliess- lich die ukrainische und der Beschwerdeführer sowie das gemeinsame minderjährige Kind ausschliesslich die lettische Staatsbürgerschaft und so- mit die EU-Bürgerschaft besitzen. Der Beschwerdeführerin kommt als Fa- milienangehörige basierend auf der EU-Richtline 2004/38/EG ein Aufent- haltsrecht im gesamten Hoheitsgebiet der EU zu. Eine Wohnsitznahme der binationalen Familie im EU-Staat Lettland ist somit – auch unter dem As- pekt der Sicherheit – möglich. Der Vollständigkeit halber ist zudem darauf hinzuweisen, dass ukrainische Staatsangehörige grundsätzlich in allen EU-Staaten bis zum 4. März 2026 vorübergehenden Schutz gemäss der «EU-Massenzustrom-Richtlinie» (Richtlinie 2001/55/EG) erhalten.</w:t>
      </w:r>
    </w:p>
    <w:p>
      <w:r>
        <w:rPr>
          <w:b/>
        </w:rPr>
        <w:t>E. 5.5</w:t>
      </w:r>
    </w:p>
    <w:p>
      <w:r>
        <w:t>Nach dem Gesagten ist festzustellen, dass die Beschwerdeführenden die Voraussetzungen für die Gewährung des vorübergehenden Schutzes nicht erfüllen. Das SEM hat die Gesuche somit zu Recht abgelehnt.</w:t>
      </w:r>
    </w:p>
    <w:p>
      <w:r>
        <w:rPr>
          <w:b/>
        </w:rPr>
        <w:t>E. 5.6</w:t>
      </w:r>
    </w:p>
    <w:p>
      <w:r>
        <w:t>Insgesamt hat das SEM in nachvollziehbarer Weise dargelegt, weshalb die Beschwerdeführenden nicht unter die Gruppe der schutzberechtigten Personen fallen, und es war den Beschwerdeführenden offensichtlich auch ohne weiteres möglich, den Entscheid sachgerecht anzufechten. Demnach kann keine Verletzung der Begründungspflicht respektive des Anspruchs auf rechtliches Gehör (vgl. Art. 29 Abs. 2 BV, Art. 29 VwVG, Art. 35 Abs. 1 VwVG) festgestellt werden. Die formelle Rüge erweist sich damit als unbe- gründet, weshalb auch der Kassationsantrag abzuweisen ist.</w:t>
      </w:r>
    </w:p>
    <w:p>
      <w:r>
        <w:rPr>
          <w:b/>
        </w:rPr>
        <w:t>E. 6.1</w:t>
      </w:r>
    </w:p>
    <w:p>
      <w:r>
        <w:t>Lehnt das SEM ein Gesuch um Gewährung des vorübergehenden Schutzes ab, verfügt es in der Regel die Wegweisung aus der Schweiz und</w:t>
      </w:r>
    </w:p>
    <w:p>
      <w:r>
        <w:t>D-1338/2023 Seite 9 ordnet den Vollzug an; es berücksichtigt dabei den Grundsatz der Einheit der Familie (vgl. Art. 69 Abs. 4 AsylG).</w:t>
      </w:r>
    </w:p>
    <w:p>
      <w:r>
        <w:rPr>
          <w:b/>
        </w:rPr>
        <w:t>E. 6.2</w:t>
      </w:r>
    </w:p>
    <w:p>
      <w:r>
        <w:t>Da es sich bei dem Beschwerdeführer und dem gemeinsamen Kind um EU-Bürger handelt, können sie sich grundsätzlich auf das Freizügigkeits- abkommen (FZA) berufen. Dieses steht einer Wegweisung indes nicht ent- gegen. Es ist insbesondere festzustellen, dass sich die Beschwerdeführen- den den Akten zufolge nicht aus einem in der FZA genannten Gründe in der Schweiz aufhalten und bisher denn auch keine aktenkundigen Schritte unternommen haben, um etwaige Ansprüche aus dem FZA geltend zu ma- chen. Die Anordnung der Wegweisung aus der Schweiz ist daher zu be- stätigen.</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7.2.1</w:t>
      </w:r>
    </w:p>
    <w:p>
      <w:r>
        <w:t>Die Beschwerdeführenden haben in der Schweiz keine Asylgesuche gestellt, und den Akten sind keine Hinweise auf eine Verletzung des flücht- lingsrechtlichen Refoulement-Verbots (vgl. Art. 5 AsylG) zu entnehmen.</w:t>
      </w:r>
    </w:p>
    <w:p>
      <w:r>
        <w:rPr>
          <w:b/>
        </w:rPr>
        <w:t>E. 7.2.2</w:t>
      </w:r>
    </w:p>
    <w:p>
      <w:r>
        <w:t>Sodann ergeben sich weder aus den Aussagen der Beschwerdefüh- renden noch aus den Akten Anhaltspunkte dafür, dass sie für den Fall einer Ausschaffung nach Lettland dort mit beachtlicher Wahrscheinlichkeit (d.h. im Sinne eines «real risk»; vgl. dazu EGMR [Grosse Kammer], Saadi</w:t>
      </w:r>
    </w:p>
    <w:p>
      <w:r>
        <w:t>D-1338/2023 Seite 10 gegen Italien, Urteil vom 28. Februar 2008, Beschwerde Nr. 37201/06, §§ 124 – 127, m.w.H.) einer nach Art. 3 EMRK oder Art. 1 FoK verbotenen Strafe oder Behandlung ausgesetzt wäre. Lettland ist Signatarstaat der EMRK, der FoK und der FK sowie des Zusatzprotokolls der FK vom 31. Ja- nuar 1967 (SR 0.142.301) und kommt seinen diesbezüglichen völkerrecht- lichen Verpflichtungen grundsätzlich nach. Die Beschwerdeführenden ha- ben denn auch nichts Gegenteiliges dargetan.</w:t>
      </w:r>
    </w:p>
    <w:p>
      <w:r>
        <w:rPr>
          <w:b/>
        </w:rPr>
        <w:t>E. 7.2.3</w:t>
      </w:r>
    </w:p>
    <w:p>
      <w:r>
        <w:t>Nach dem Gesagten ist der Vollzug der Wegweisung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Hinsichtlich der Frage der Zumutbarkeit des Wegweisungsvollzugs ist vorab auf Art. 83 Abs. 5 AIG zu verweisen, wonach eine Wegweisung in einen EU- oder EFTA-Staat vermutungsweise zumutbar ist. Die Beschwer- deführenden bringen nichts vor, was diese Vermutung widerlegen könnte. Ihre Ausführungen, wonach die lettische Wohnbevölkerung gegenüber rus- sischstämmigen Personen feindlich gestimmt sei, genügen nicht, um auf das Vorliegen einer konkreten Gefährdung der Beschwerdeführenden zu schliessen. Auch die wirtschaftlichen Bedenken und das fehlende Bezie- hungsnetz sind nicht geeignet, um einen Wegweisungsvollzug nach Lett- land als unzumutbar erscheinen zu lassen.</w:t>
      </w:r>
    </w:p>
    <w:p>
      <w:r>
        <w:rPr>
          <w:b/>
        </w:rPr>
        <w:t>E. 7.3.2</w:t>
      </w:r>
    </w:p>
    <w:p>
      <w:r>
        <w:t>Nach dem Gesagten erweist sich der Vollzug der Wegweisung auch als zumutbar.</w:t>
      </w:r>
    </w:p>
    <w:p>
      <w:r>
        <w:rPr>
          <w:b/>
        </w:rPr>
        <w:t>E. 7.4</w:t>
      </w:r>
    </w:p>
    <w:p>
      <w:r>
        <w:t>Schliesslich obliegt es den Beschwerdeführenden, sich bei der zustän- digen Vertretung Lettlands die für eine Rückkehr notwendigen Reisedoku- mente zu beschaffen (vgl. Art 72 i.V.m.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D-1338/2023 Seite 11</w:t>
      </w:r>
    </w:p>
    <w:p>
      <w:r>
        <w:rPr>
          <w:b/>
        </w:rPr>
        <w:t>E. 7.25</w:t>
      </w:r>
    </w:p>
    <w:p>
      <w:r>
        <w:t>Stunden sowie die Auslagen von insgesamt Fr. 60.65 erscheinen an- gemessen. Gemäss der bereits in der Verfügung vom 16. März 2023 dar- gelegten Praxis des Gerichts bei amtlicher Vertretung (vgl. auch Art. 12 i.V.m. Art. 10 Abs. 2 VGKE), ist der geltend gemachte Stundenansatz auf Fr. 150.– zu kürzen. Das amtliche Honorar beträgt demnach insgesamt Fr. 1‘148.15 und geht zulasten der Gerichtskasse des Bundesverwaltungs- gerichts.</w:t>
      </w:r>
    </w:p>
    <w:p>
      <w:r>
        <w:t>(Dispositiv nächste Seite)</w:t>
      </w:r>
    </w:p>
    <w:p>
      <w:r>
        <w:t>D-1338/2023 Seite 12</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Zwischenverfü- gung vom 16. März 2023 gewährten unentgeltlichen Prozessführung zu verzichten, zumal sich die finanziellen Verhältnisse der Beschwerdeführen- den gemäss den Akten nicht verändert haben.</w:t>
      </w:r>
    </w:p>
    <w:p>
      <w:r>
        <w:rPr>
          <w:b/>
        </w:rPr>
        <w:t>E. 9.2</w:t>
      </w:r>
    </w:p>
    <w:p>
      <w:r>
        <w:t>Mit derselben Verfügung wurde den Beschwerdeführenden rubrizierter Rechtsvertreter als amtlicher Rechtsbeistand beigeordnet. Ihm ist für seine Aufwendungen im Beschwerdeverfahren ein Honorar auszurichten. Der in der Kostennote vom 30. März 2023 geltend gemachte Aufwand von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