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D-1335/2019 vom 2. April 2019</w:t>
      </w:r>
    </w:p>
    <w:p>
      <w:r>
        <w:t>Bundesverwaltungsgericht, 2019-04-02, DE</w:t>
      </w:r>
    </w:p>
    <w:p>
      <w:r>
        <w:rPr>
          <w:b/>
        </w:rPr>
        <w:t xml:space="preserve">Quelle: </w:t>
      </w:r>
      <w:r>
        <w:t>https://mcp.opencaselaw.ch/entscheid/bvger_D-1335_2019</w:t>
      </w:r>
    </w:p>
    <w:p>
      <w:r>
        <w:t>FR: TAF D-1335/2019 du 2 avril 2019</w:t>
      </w:r>
    </w:p>
    <w:p>
      <w:r>
        <w:t>IT: TAF D-1335/2019 del 2 aprile 2019</w:t>
      </w:r>
    </w:p>
    <w:p>
      <w:pPr>
        <w:pStyle w:val="Heading2"/>
      </w:pPr>
      <w:r>
        <w:t>Regeste</w:t>
      </w:r>
    </w:p>
    <w:p>
      <w:r>
        <w:t>Aberkennung der Flüchtlingseigenschaft</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 In Anwendung von Art. 111 Abs. 1 AsylG wurde auf die Durchführung eines Schriftenwechsels verzichtet.</w:t>
      </w:r>
    </w:p>
    <w:p>
      <w:r>
        <w:rPr>
          <w:b/>
        </w:rPr>
        <w:t>E. 4</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 Art. 1 Bst. C FK beinhaltet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Bst. C Ziff. 1 FK).</w:t>
      </w:r>
    </w:p>
    <w:p>
      <w:r>
        <w:rPr>
          <w:b/>
        </w:rPr>
        <w:t>E. 5.1</w:t>
      </w:r>
    </w:p>
    <w:p>
      <w:r>
        <w:t>Das SEM führte zur Begründung der Aberkennung der Flüchtlingseigenschaft im Wesentlichen aus, der Beschwerdeführer sei nachweislich für eine Dauer von rund zwei Monaten auf dem Luftweg nach Tunesien gereist und habe dabei ein als verloren gemeldetes schweizerisches Reisedokument verwendet. Aus den Stellungnahmen des Beschwerdeführers gehe hervor, dass er die Heimatreise freiwillig - angeblich zwecks Besuch seiner kranken Mutter - unternommen habe. Im Weiteren sei angesichts der legalen Ein- und Ausreise und seiner langen Aufenthaltsdauer ersichtlich, dass er sich bewusst unter den Schutz des Heimatstaates gestellt habe. Diesen Schutz habe er effektiv auch erhalten (legale Ein- und Ausreise, keine Schwierigkeiten mit den Behörden aktenkundig). Die behaupteten Schwierigkeiten mit seinem Bruder würden an dieser Einschätzung nichts ändern, hätten allfällige Verfolger doch mehr als genügend Zeit gehabt, dem Beschwerdeführer habhaft zu werden. Die angebliche Hospitalisierung der Mutter habe der Beschwerdeführer einzig durch eine Kopie einer ärztlichen Bestätigung zu belegen versucht. Ohnehin sei gemäss Rechtsprechung in casu auch im Fall einer Erkrankung seiner Mutter von einer absichtlichen Unterschutzstellung auszugehen (vgl. Entscheidungen und Mitteilungen der vormaligen Schweizerischen Asylrekurskommission [E-MARK] 1996/12 E. 6), zumal eine unmittelbare Notwendigkeit, die angeblich kranke Mutter zu besuchen, aufgrund der genannten Diagnose (Diabetes, Bluthochdruck) nicht vorgelegen habe. Die Voraussetzungen für die Aberkennung der Flüchtlingseigenschaft seien damit erfüllt. Dadurch unterstehe der Beschwerdeführer nicht mehr der Flüchtlingskonvention und der ursprüngliche Grund für die Anordnung der vorläufigen Aufnahme (Unzulässigkeit) sei entfallen. Eine aktuelle Prüfung der Wegweisungsvollzugshindernisse ergebe, dass der Vollzug der Wegweisung nach Tunesien zulässig, zumutbar und möglich sei. Schliesslich sei die Aufhebung der vorläufigen Aufnahme im vorliegenden Fall auch verhältnismässig. Der Beschwerdeführer befinde sich unter verschiedenen Aufenthaltstiteln seit 2002 in der Schweiz, ohne indessen überdurchschnittlich integriert zu sein. Er gehe aktuell keinem Arbeitserwerb nach (die im Schreiben vom 4. Mai 2018 erwähnte, vom Beschwerdeführer betriebene Shisha-Bar sei inzwischen behördlich geschlossen worden) und verfüge nicht über enge familiäre Bindungen (zwei geschiedene Ehen). Insbesondere die jüngste aktenkundige Heimreise vom Januar 2019 belege, dass die Verbindungen zum Heimatstaat weiterhin bestünden. Demgegenüber sei von einem hohen öffentlichen Interesse am Vollzug der Wegweisung auszugehen.</w:t>
      </w:r>
    </w:p>
    <w:p>
      <w:r>
        <w:rPr>
          <w:b/>
        </w:rPr>
        <w:t>E. 5.2</w:t>
      </w:r>
    </w:p>
    <w:p>
      <w:r>
        <w:t>In der Beschwerde wird im Wesentlichen geltend gemacht, die Reise des Beschwerdeführers in seinen Heimatstaat sei zwar freiwillig, aber wegen seiner kranken Mutter und seines psychisch labilen Zustands erfolgt. Der Beschwerdeführer habe nie die Absicht gehabt, sich erneut unter den Schutz seines Heimatstaates zu begeben, sondern habe während seines Aufenthaltes in ständiger Angst gelebt, wegen der Konversion zum Christentum durch radikale Moslems ermordet zu werden. Diese Gefahr sei in der Zwischenzeit durch die Rückkehr von tausenden von Dschihadisten grösser geworden und der Heimatstaat sei nicht in der Lage, den Beschwerdeführer zu schützen. Aufgrund der zweimaligen Reise nach Tunesien für kurze Zeit sei nicht von einer tatsächlichen Schutzgewährung des Heimatstaates auszugehen.</w:t>
      </w:r>
    </w:p>
    <w:p>
      <w:r>
        <w:rPr>
          <w:b/>
        </w:rPr>
        <w:t>E. 6</w:t>
      </w:r>
    </w:p>
    <w:p>
      <w:r>
        <w:t>6.1 Nachfolgend ist zu prüfen, ob das SEM die Flüchtlingseigenschaft des Beschwerdeführers zu Recht gestützt auf Art. 63 Abs. 1 Bst. b AsylG in Verbindung mit Art. 1 C Ziff. 1 FK aberkannt und die ihm am 26. April 2013 gewährte vorläufige Aufnahme aufgehoben hat.</w:t>
      </w:r>
    </w:p>
    <w:p>
      <w:r>
        <w:rPr>
          <w:b/>
        </w:rPr>
        <w:t>E. 6.2</w:t>
      </w:r>
    </w:p>
    <w:p>
      <w:r>
        <w:t>In materieller Hinsicht gilt es vorauszuschicken, dass bei Heimatreisen ein restriktiver Massstab zu gelten hat und die Rückreise somit ein starkes Indiz dafür darstellt, dass die frühere Verfolgungsgefahr nicht mehr besteht (vgl. BVGE 2010/17 E. 5.1.2).</w:t>
      </w:r>
    </w:p>
    <w:p>
      <w:r>
        <w:rPr>
          <w:b/>
        </w:rPr>
        <w:t>E. 6.3</w:t>
      </w:r>
    </w:p>
    <w:p>
      <w:r>
        <w:t>Unbestritten ist, dass sich der Beschwerdeführer vom (...) bis am (...) in Tunesien aufgehalten hat und am 13. Januar 2019 mit einem gültigen tunesischen Reisepass auf dem Flugweg von D._______ nach B.______ reiste.</w:t>
      </w:r>
    </w:p>
    <w:p>
      <w:r>
        <w:rPr>
          <w:b/>
        </w:rPr>
        <w:t>E. 6.4</w:t>
      </w:r>
    </w:p>
    <w:p>
      <w:r>
        <w:t>Art. 1 C Ziff. 1 FK kommt zur Anwendung, wenn sich der Flüchtling freiwillig unter den Schutz seines Heimatstaats gestellt hat. Praxisgemäss wird das Kriterium der freiwilligen Unterschutzstellung dann bejaht, wenn kumulativ die folgenden drei Voraussetzungen erfüllt sind: Die Kontaktaufnahme des Flüchtlings mit dem Heimatstaat muss freiwillig und ohne Einwirkung äusseren Zwangs erfolgt sein, die betroffene Person muss in der Absicht gehandelt haben, sich dem Schutz des Heimatlandes zu unterstellen, und diese Schutzgewährung muss schliesslich tatsächlich erfolgt sein (vgl. BVGE 2010/17 E. 5.1.1 S. 202). Grundsätzlich stellt der Umstand, dass sich jemand zurück in den Verfolgerstaat begibt, ein starkes Indiz dafür dar, dass die frühere Verfolgungssituation oder die Furcht vor Verfolgung nicht mehr besteht. Trotzdem darf die Aberkennung der Flüchtlingseigenschaft erst dann ausgesprochen werden, wenn die erwähnten Voraussetzungen in ihrer Gesamtheit erfüllt sind.</w:t>
      </w:r>
    </w:p>
    <w:p>
      <w:r>
        <w:rPr>
          <w:b/>
        </w:rPr>
        <w:t>E. 6.5</w:t>
      </w:r>
    </w:p>
    <w:p>
      <w:r>
        <w:t>Als Grundvoraussetzung für die Aberkennung der Flüchtlingseigenschaft ist somit vorab das Kriterium der freiwilligen Kontaktaufnahme mit dem Heimatland zu prüfen. Diesbezüglich wurde seitens des Beschwerdeführers geltend gemacht, er habe seine kranke Mutter besuchen wollen. Hierzu ist in Bestätigung der vorinstanzlichen Ausführungen festzuhalten, dass aufgrund des lediglich in Kopie vorliegenden ärztlichen Bestätigungsschreibens das Vorliegen der angegebenen gesundheitlichen Schwierigkeiten (Diabetes, Bluthockdruck) nicht zweifelsfrei feststeht, diese indessen ohnehin nicht eine derart prekäre Gesundheitssituation darstellen, dass eine unmittelbare Notwendigkeit eines Besuches bestanden hätte. Auch allfällige psychische Schwierigkeiten des Beschwerdeführers, welche in der Beschwerde weder näher bezeichnet noch belegt werden, ändern nichts daran, dass der Beschwerdeführer freiwillig in sein Heimatland zurückgekehrt ist.</w:t>
      </w:r>
    </w:p>
    <w:p>
      <w:r>
        <w:rPr>
          <w:b/>
        </w:rPr>
        <w:t>E. 6.6</w:t>
      </w:r>
    </w:p>
    <w:p>
      <w:r>
        <w:t>In Sinne einer zweiten Voraussetzung muss die (freiwillige) Kontaktaufnahme mit dem Heimatstaat sodann mit der Absicht erfolgt sein, sich unter den Schutz des Heimatstaats zu stellen. Diese Absicht (im Sinne der beabsichtigten Unterschutzstellung) wird in der Regel schon dann bejaht, wenn die Schutzgewährung durch den Heimatstaat in Kauf genommen wird. Bei der Beurteilung, ob im Falle von Reisen ins Heimatland dieses Kriterium erfüllt ist, kommt es auch auf die Motive für die Heimatreise an. Einfache Urlaubs- und Vergnügungsreisen werden eher auf eine Inkaufnahme einer Unterschutzstellung schliessen lassen als Reisen aus Gründen, welche, ohne gleich die Freiwilligkeit auszuschliessen, immerhin ein gewisses Mass an psychischem Druck zur Heimatreise ausüben (vgl. BVGE 2010/17 E. 5.2.3 S. 203 mit Verweis auf EMARK 1996 Nr. 12 E. 8b S. 103). Der Umstand, ob der Flüchtling heimlich oder offiziell, mit oder ohne Reisepapiere des Heimatstaates, in sein Heimatland gereist ist, lässt ebenfalls Schlüsse bezüglich der Absicht erneuter Unterschutzstellung zu (vgl. EMARK 1996 Nr. 7 E. 8b S. 61): Wer beispielsweise heimlich eine Reise unternimmt, das Heimatland unter Umgehung der Grenzkontrollen betritt und sich während des Aufenthalts weitgehend versteckt hält, zeigt durch dieses Verhalten, dass er Kontakte mit Organen des Staates vermeiden will, eine Unterschutzstellung also gerade nicht in Kauf nimmt (vgl. EMARK 1996 Nr. 12 E. 8b S. 103 m.w.H.). Wie vorstehend ausgeführt, stand der Beschwerdeführer nicht unter einem relevanten psychischen Druck, sich erneut unter den Schutz seines Heimatlandes zu begeben. Aufgrund der Aktenlage steht zudem fest, dass er keineswegs heimlich oder nur mit besonderen Vorsichtsmassnahmen nach Tunesien, sondern vielmehr zweimal auf legalem Weg einreiste, im Januar 2019 gar mit einem gültigen tunesischen Reisepass. Insbesondere aufgrund der Passausstellung ist die Absicht der Unterschutzstellung ohne weiteres zu bejahen.</w:t>
      </w:r>
    </w:p>
    <w:p>
      <w:r>
        <w:rPr>
          <w:b/>
        </w:rPr>
        <w:t>E. 6.7</w:t>
      </w:r>
    </w:p>
    <w:p>
      <w:r>
        <w:t>Schliesslich setzt der Tatbestand der freiwilligen Unterschutzstellung voraus, dass die Schutzgewährung effektiv erfolgt sein muss. Dieses Kriterium ist erfüllt, wenn objektive Anhaltspunkte dafür bestehen, dass die betreffende Person tatsächlich nicht mehr gefährdet ist. Solche Anhaltspunkte können vorwiegend in entsprechenden Handlungen des Heimatstaates gesehen werden (vgl. BVGE 2010/17 E. 5.3 S. 204, m.w.H.). Angesichts dessen, dass der Beschwerdeführer offiziell und ohne Schwierigkeiten nach Tunesien ein- und wieder ausreisen konnte und sich unbehelligt zwei Monate dort aufhielt, bestehen keine konkreten Anhaltspunkte für eine begründete Furcht vor künftiger unmittelbarer oder mittelbarer Verfolgung. An dieser Einschätzung vermögen die allgemeinen Hinweise auf mögliche Behelligungen durch Drittpersonen und allenfalls fehlender Schutzfähigkeit der tunesischen Behörden nichts zu ändern.</w:t>
      </w:r>
    </w:p>
    <w:p>
      <w:r>
        <w:rPr>
          <w:b/>
        </w:rPr>
        <w:t>E. 6.8</w:t>
      </w:r>
    </w:p>
    <w:p>
      <w:r>
        <w:t>Zusammenfassend ist festzustellen, dass im vorliegenden Fall sämtliche in Art. 1 C Ziff. 1 FK respektive Art. 63 Abs. 1 Bst. b AsylG statuierten Voraussetzungen für eine Aberkennung der Flüchtlingseigenschaft erfüllt sind. Das SEM hat dem Beschwerdeführer die Flüchtlingseigenschaft demnach zu Recht aberkannt. 7.7.1 Das SEM hebt die vorläufige Aufnahme auf und ordnet den Vollzug der Wegweisung an, wenn die Voraussetzungen für die vorläufige Aufnahme nicht mehr gegeben sind (Art. 84 Abs. 2 des Bundesgesetzes über die Ausländerinnen und Ausländer und über die Integration [AIG, SR 142.20]). Die Voraussetzungen sind nicht mehr gegeben, wenn der Vollzug der rechtskräftig angeordneten Wegweisung zulässig (Art. 83 Abs. 3 AIG) und es der ausländischen Person möglich (Art. 83 Abs. 2 AIG) und zumutbar (Art. 83 Abs. 4 AIG) ist, sich rechtmässig in ihren Heimat-, in den Herkunfts- oder in einen Drittstaat zu begeben. Wegweisungsvollzugshindernisse sind zu beweisen, wenn der strikte Beweis möglich ist,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7.2.1 Das Prinzip des flüchtlingsrechtlichen Non-Refoulement schützt nur Personen, welche die Flüchtlingseigenschaft erfüllen. Da das SEM die Flüchtlingseigenschaft des Beschwerdeführers zu Recht aberkannt hat (vgl. die vorstehenden Ausführungen), kann der in Art. 5 AsylG verankerte Grundsatz der Nichtrückschiebung im vorliegenden Verfahren keine Anwendung finden. Eine Rückkehr des Beschwerdeführers nach Tunesien ist demnach unter dem Aspekt von Art. 5 AsylG rechtmässig. Den Akten sind aufgrund der vorstehenden Erwägungen zur Frage der Aberkennung der Flüchtlingseigenschaft auch keine Anhaltspunkte dafür zu entnehmen, dass der Beschwerdeführer bei einer erneuten Rückkehr nach Tunesien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Der Vollzug erweist sich demnach als zulässig. 7.2.2 Nach dem Gesagten ist der Vollzug der Wegweisung sowohl im Sinne der asyl- als auch der völkerrechtlichen Bestimmungen zulässig. 7.4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Situation im Heimatstaat des Beschwerdeführers, welche nicht von einer landesweiten Situation von Krieg, Bürgerkrieg oder allgemeiner Gewalt geprägt ist, noch individuelle Gründe sprechen gegen die Zumutbarkeit des Wegweisungsvollzugs des relativ jungen und gesunden Beschwerdeführers. 7.5 Die Möglichkeit des Vollzugs der Wegweisung (Art. 8 Abs. 4 AsylG) ist vorliegend ohne weiteres zu bejahen, zumal der Beschwerdeführer über einen gültigen eritreischen Reisepass verfügt. 7.6 Nachdem gestützt auf die vorstehenden Ausführungen der Wegweisungsvollzug des Beschwerdeführers nach Tunesien im heutigen Zeitpunkt als zulässig, zumutbar und möglich zu bezeichnen ist, hat das SEM die ursprünglich wegen Unzulässigkeit des Vollzugs angeordnete vorläufige Aufnahme grundsätzlich zu Recht aufgehoben. 8.Schliesslich bleibt zu prüfen, ob die Aberkennung der Flüchtlingseigenschaft und die Aufhebung der vorläufigen Aufnahme im vorliegenden Fall als verhältnismässig erachtet werden können (vgl. dazu Art. 96 Abs. 1 AIG). Grundsätzlich besteht ein erhebliches öffentliches Interesse daran, dass Personen, welche die Voraussetzungen der Flüchtlingseigenschaft nicht erfüllen und bei denen auch das Vorliegen von anderweitigen Wegweisungsvollzugshindernissen verneint wird, das Land verlassen, sofern sie nicht über einen anderweitigen (ausländerrechtlichen) Aufenthaltstitel verfügen. Dabei spielt nicht nur das Interesse der Migrationsregulierung eine Rolle, sondern beispielsweise auch das Rechtsgleichheitsgebot. Die Aberkennung der Flüchtlingseigenschaft ist im vorliegenden Fall verbunden mit einer Aufhebung der vorläufigen Aufnahme, was faktisch bedeutet, dass der Beschwerdeführer sein Anwesenheitsrecht in der Schweiz verliert. Sein auf den ersten Blick gewichtiges Interesse an einem weiteren Verbleib in der Schweiz muss indessen relativiert werden. Gestützt auf die vorstehenden Erwägungen ist zunächst festzustellen, dass der Beschwerdeführer die Aberkennung der Flüchtlingseigenschaft selbst verschuldet hat. Im Weiteren kann in seinem Fall trotz langjähriger Anwesenheit in der Schweiz nicht von einer besonders starken Integration ausgegangen werden. Der Beschwerdeführer geht gemäss dem mit der Beschwerde eingereichten Arbeitsvertrag in Kopie erst seit dem 1. März 2019 wieder einem Arbeitserwerb nach und verfügt nicht über enge familiäre Bindungen (zwei geschiedene Ehen). Im Übrigen hat der Beschwerdeführer die Möglichkeit, die bestehenden ausländerrechtlichen Optionen auszuschöpfen, um gegebenenfalls ein Aufenthaltsrecht in der Schweiz zu erlangen. Im Rahmen dieses ausländerrechtlichen Verfahrens würden namentlich die Integration und die familiären Verhältnisse erneut geprüft werden. Die vorliegend zu beurteilende Aberkennung der Flüchtlingseigenschaft verbunden mit der Aufhebung der vorläufigen Aufnahme stellt nach dem Gesagten keine unverhältnismässige Härte dar. 9.Aus diesen Erwägungen ergibt sich, dass die angefochtene Verfügung Bundesrecht nicht verletzt, den rechtserheblichen Sachverhalt richtig sowie vollständig feststellt (Art. 106 Abs. 1 AsylG) und - soweit diesbezüglich überprüfbar - angemessen ist. Die Beschwerde ist abzuweisen. 10.Mit dem Ergehen des vorliegenden Urteils wird das Gesuch um Verzicht auf das Erheben eines Kostenvorschusses gegenstandslos. 11.Bei diesem Ausgang des Verfahrens sind die Kosten in der Höhe von Fr. 750.- dem Beschwerdeführer aufzuerlegen (Art. 63 Abs. 1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