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D-1331/2022 vom 11. Februar 2022</w:t>
      </w:r>
    </w:p>
    <w:p>
      <w:r>
        <w:t>Bundesverwaltungsgericht, 2022-02-11, FR</w:t>
      </w:r>
    </w:p>
    <w:p>
      <w:r>
        <w:rPr>
          <w:b/>
        </w:rPr>
        <w:t xml:space="preserve">Quelle: </w:t>
      </w:r>
      <w:r>
        <w:t>https://mcp.opencaselaw.ch/entscheid/bvger_D-1331_2022_d20220211</w:t>
      </w:r>
    </w:p>
    <w:p>
      <w:r>
        <w:t>FR: TAF D-1331/2022 du 11 février 2022</w:t>
      </w:r>
    </w:p>
    <w:p>
      <w:r>
        <w:t>IT: TAF D-1331/2022 del 11 febbraio 2022</w:t>
      </w:r>
    </w:p>
    <w:p>
      <w:pPr>
        <w:pStyle w:val="Heading2"/>
      </w:pPr>
      <w:r>
        <w:t>Regeste</w:t>
      </w:r>
    </w:p>
    <w:p>
      <w:r>
        <w:t>Asile et renvoi (demande multiple/r&amp;eacute;examen) | Asile et renvoi (demande multiple/réexamen); décision du SEM du 11 février 2022</w:t>
      </w:r>
    </w:p>
    <w:p>
      <w:pPr>
        <w:pStyle w:val="Heading2"/>
      </w:pPr>
      <w:r>
        <w:t>Erwägungen</w:t>
      </w:r>
    </w:p>
    <w:p>
      <w:r>
        <w:rPr>
          <w:b/>
        </w:rPr>
        <w:t>E. 25</w:t>
      </w:r>
    </w:p>
    <w:p>
      <w:r>
        <w:t>octobre 2021, respectivement de son mémoire complémentaire du 13 janvier 2022, n’a pas fait valoir de nouveaux motifs d’asile, mais s’est expressément référé à ceux invoqués dans sa précédente procédure, que c’est donc manifestement à juste titre que le SEM a classé sans décision formelle sa requête sous cet angle, en application de l’art. 111c al. 2 LAsi, que le classement d’une demande multiple sans décision formelle, qui ne constitue pas une décision au sens de l’art. 5 PA, n’est pas susceptible de recours (cf. ATAF 2016/17 consid. 4.3 ; 2015/28 consid. 3), qu’en outre, le recours pour déni de justice est exclu en cas de classement sans décision formelle par le SEM d’une demande remplissant les conditions prévues par la disposition précitée (cf. ATAF 2016/17 précité consid. 6.3), comme en l’espèce, que dans ces conditions, en l'absence de décision attaquable au sens de l'art. 5 PA, le recours, en tant qu'il est dirigé directement contre le classement du 11 février 2022, est privé de tout objet et est irrecevable à ce titre (cf. ATAF 2016/17 précité, consid. 5), que pour ce qui a trait aux nouveaux éléments touchant à l’état de santé du recourant, dans la mesure où ils concernent l’exécution de son renvoi, c’est également à bon droit que le SEM les a examinés sous l’angle du réexamen (cf. ATAF 2016/17 précité, consid. 4.1.3 et jurisp. cit.), que le Tribunal est donc compétent pour connaître du recours en la matière, que l'intéressé a qualité pour recourir (art. 48 al. 1 PA), que, présenté dans la forme (art. 52 PA) et le délai (art. 108 al. 6 LAsi) prescrits par la loi, le recours est recevable, sous réserve des considérations qui précèdent, que la demande de réexamen (aussi appelée demande de reconsidération), définie comme une requête adressée à une autorité</w:t>
      </w:r>
    </w:p>
    <w:p>
      <w:r>
        <w:t>D-1331/2022 Page 6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qu’elle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ou invoque des moyens de preuve concluants postérieurs au prononcé de l'arrêt matériel sur recours, mais qui concernent des faits antérieurs (cf. ATAF 2013/22 consid. 11.4.3 à 11.4.7), que les faits nouveaux et preuves nouvelles au sens de l'art. 66 PA ne peuvent entraîner le réexamen que s'ils sont importants et décisifs, c'est- 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no 26 p. 1357 et réf. cit. ; PIERRE FERRARI, in : Commentaire de la LTF, 2ème éd., 2014, p. 1421 s. et réf. cit.).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E-3862/2017 du 24 juillet 2017), qu’il ne saurait en particulier servir à remettre sans cesse en cause des décisions exécutoires ou à détourner les délais prévus pour les voies de droit ordinaires (art. 111b al. 4 et art. 111c al. 2 LAsi ; cf. ATF 136 II 177 consid. 2.1), ni permettre une nouvelle appréciation de faits déjà connus en procédure ordinaire (cf. JICRA 2003 no 7 p. 45 et jurisp. cit.), qu’en l’occurrence, à l’appui de sa requête du 25 octobre 2021, l’intéressé a invoqué son état de santé, respectivement une aggravation de celui-ci,</w:t>
      </w:r>
    </w:p>
    <w:p>
      <w:r>
        <w:t>D-1331/2022 Page 7 que, selon l’attestation médicale du 14 octobre 2021, il a dû être hospitalisé à trois reprises en 2021 dans un centre de soins hospitaliers psychiatriques, que, selon le rapport médical du 23 décembre 2021, il souffre d’un trouble dépressif récurrent, épisode actuel sévère (F33.2), avec notamment des idées noires et suicidaires chroniques, d’un état de stress post-traumatique (F43.1) et d’un trouble mixte de la personnalité et autres troubles de la personnalité (F61) ; qu’il bénéficiait depuis le 11 octobre 2021 d’une prise en charge intégrée à (…), avec des entretiens médico-infirmiers hebdomadaires, des thérapies de groupe, de la thérapie non verbale (ergothérapie/art-thérapie), ainsi que d'une structuration et rythmicité de ses journées et d’une socialisation au cours des différentes activités occupationnelles proposées ; qu’un suivi psychiatrique ambulatoire était prévu dès sa sortie de (…), qu’il convient d’abord de constater que les trois hospitalisations de l’intéressé mentionnées dans l’attestation médicale du 14 octobre 2021 sont antérieures à la décision du SEM du 21 juillet 2021, qu’elles auraient donc pu et dû être invoquées dans la précédente procédure extraordinaire, qu’indépendamment de cette question, le Tribunal a déjà jugé dans le cadre de la procédure ordinaire que des traitements adéquats sont disponibles dans le nord de l’Irak, d’où est originaire le recourant (cf. D-404/2015 consid. 11.7.2), que ce constat est toujours d’actualité ; que le nord de l’Irak dispose en effet de structures médicales qui offrent des soins médicaux essentiels (cf. ATAF 2011/50 consid. 8.3) pour les troubles de la lignée anxieuse, dépressive et post-traumatique, même si elles font face à une sollicitation accrue en raison de nombreuses années de privation et du grand nombre de déplacés internes (cf. à ce sujet notamment arrêts du Tribunal D-3524/2021 du 18 février 2022 ; D-5893/2020 du 6 janvier 2022 consid. 9.4.2 ; E-3128/2021 du 21 juillet 2021 consid. 11.2 ; E-1776/2021 du</w:t>
      </w:r>
    </w:p>
    <w:p>
      <w:r>
        <w:rPr>
          <w:b/>
        </w:rPr>
        <w:t>E. 30</w:t>
      </w:r>
    </w:p>
    <w:p>
      <w:r>
        <w:t>avril 2021 ; D-2017/2019 du 16 juillet 2020 consid. 9.5 ; E-5747/2018 du 25 juin 2020 consid. 7.5), qu’à son retour, il reviendra au recourant d’entreprendre les démarches en vue d’accéder aux soins que requiert son état de santé, même si ceux-ci ne devaient pas être de la même qualité qu’en Suisse,</w:t>
      </w:r>
    </w:p>
    <w:p>
      <w:r>
        <w:t>D-1331/2022 Page 8 qu’il lui sera de plus possible, le cas échéant,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ainsi qu’une aide financière à sa réinsertion, qu’enfin, la péjoration de l'état psychique est une réaction qui peut être couramment observée chez une personne dont la demande de protection a été rejetée, sans qu'il faille pour autant y voir un obstacle sérieux à l'exécution du renvoi ; qu’en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 que, dans l'hypothèse où les tendances suicidaires s'accentueraient dans le cadre de l'exécution forcée, les autorités devraient y remédier au moyen de mesures adéquates, de façon à exclure un danger concret de dommages à la santé (cf. p. ex. arrêts du Tribunal E-3531/2019 du 21 septembre 2021 consid. 9.3.3 et D-4250/2018 du 31 août 2021 consid. 10.4.2), que, pour le surplus, il y a lieu de renvoyer à l’arrêt D-404/2015 (consid. 11.1 ss), ainsi qu’à la décision attaquée, celle-ci paraissant suffisamment motivée (art. 109 al. 3 LTF, par renvoi de l’art. 4 PA), d’autant que le recours ne contient pas d’arguments nouveaux et déterminants susceptibles d’en remettre en cause le bien-fondé sous cet angle, que les éléments de santé soulevés n’apparaissent ainsi pas décisifs sous l’angle de l’exigibilité (art. 83 al. 4 de la loi fédérale du 16 décembre 2005 sur les étrangers et l'intégration [LEI, RS 142.20]) ni, a fortiori, de la licéité (art. 83 al. 3 LEI) de l’exécution du renvoi, qu’il s'ensuit que c'est à bon droit que le SEM a rejeté la requête du 25 octobre 2021 en tant que demande de réexamen, que, partant, le recours du 21 mars 2022 doit être rejeté, dans la mesure où il est recevable,</w:t>
      </w:r>
    </w:p>
    <w:p>
      <w:r>
        <w:t>D-1331/2022 Page 9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et art. 2 et 3 let. a du règlement du 21 février 2008 concernant les frais, dépens et indemnités fixés par le Tribunal administratif fédéral [FITAF, RS 173.320.2]),</w:t>
      </w:r>
    </w:p>
    <w:p>
      <w:r>
        <w:t>(dispositif page suivante)</w:t>
      </w:r>
    </w:p>
    <w:p>
      <w:r>
        <w:t>D-1331/2022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