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D-1328/2013 vom 15. Mai 2013</w:t>
      </w:r>
    </w:p>
    <w:p>
      <w:r>
        <w:t>Bundesverwaltungsgericht, 2013-05-15, DE</w:t>
      </w:r>
    </w:p>
    <w:p>
      <w:r>
        <w:rPr>
          <w:b/>
        </w:rPr>
        <w:t xml:space="preserve">Quelle: </w:t>
      </w:r>
      <w:r>
        <w:t>https://mcp.opencaselaw.ch/entscheid/bvger_D-1328_2013</w:t>
      </w:r>
    </w:p>
    <w:p>
      <w:r>
        <w:t>FR: TAF D-1328/2013 du 15 mai 2013</w:t>
      </w:r>
    </w:p>
    <w:p>
      <w:r>
        <w:t>IT: TAF D-1328/2013 del 15 maggio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Bundesverwaltungsgericht verzichtete vorliegend gestützt auf Art. 111a AsylG auf die Durchführung eines Schriftenwechsels.</w:t>
      </w:r>
    </w:p>
    <w:p>
      <w:r>
        <w:rPr>
          <w:b/>
        </w:rPr>
        <w:t>E. 4</w:t>
      </w:r>
    </w:p>
    <w:p>
      <w:r>
        <w:t>Die Ziffern 1, 2 und 3 des Dispositivs der vorinstanzlichen Verfügung sind in Rechtskraft erwachsen, da sich die Beschwerde ausdrücklich nur gegen den Vollzug der Wegweisung richtet. Betreffend Asyl und die angeordnete Wegweisung wird weder ein konkreter Antrag gestellt, noch lässt sich ein solcher sinngemäss aus der Begründung ableiten. Es ist deshalb zu prüfen, ob die Vorinstanz den Vollzug der Wegweisung zu Recht angeordnet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BVGE 2011/24 E. 10.2).</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Die Vorinstanz wies in der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Nigeria ist demnach unter dem Aspekt von Art. 5 AsylG rechtmässig.</w:t>
      </w:r>
    </w:p>
    <w:p>
      <w:r>
        <w:rPr>
          <w:b/>
        </w:rPr>
        <w:t>E. 5.2.3</w:t>
      </w:r>
    </w:p>
    <w:p>
      <w:r>
        <w:t>Sodann ergeben sich weder aus den Aussagen der Beschwerdeführerin noch aus den Akten Anhaltspunkte dafür, dass sie und ihre Tochter für den Fall einer Ausschaffung nach Nigeria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Wie das BFM in der angefochtenen Verfügung festgehalten hat, kann unter Umständen zwar eine Verfolgung durch Drittpersonen unter den Tatbestand von Art. 3 EMRK subsumiert werden, wobei die Anforderungen an die Bejahung eines "real risk" sehr hoch seien und allein die Möglichkeit unmenschlicher Behandlung für sich noch keine Verletzung von Art. 3 EMRK darstelle. Die Anwendbarkeit der Bestimmung von Art. 3 EMRK setze ferner voraus, dass sich die Gefährdung auf das gesamte Gebiet des Heimatstaates beziehen müsse, dem Betroffenen mithin keine innerstaatliche Wohnsitzalternative zur Verfügung stehen dürfe. Im vorliegenden Fall hätten die Beschwerdeführerin und ihr Ehemann jedoch die Möglichkeit, sich allfälligen zukünftigen Übergriffen seitens Dritter durch eine geeignete Wahl ihres künftigen Wohnsitzes zu entziehen, da sowohl die von der Bevölkerung am ehemaligen Wohnsitz ihres Ehemannes als auch die von der Familie der Beschwerdeführerin ausgehende Bedrohung rein lokaler Natur sei. Das Bundesverwaltungsgericht schliesst sich dieser Auffassung an.</w:t>
      </w:r>
    </w:p>
    <w:p>
      <w:r>
        <w:rPr>
          <w:b/>
        </w:rPr>
        <w:t>E. 5.2.4</w:t>
      </w:r>
    </w:p>
    <w:p>
      <w:r>
        <w:t>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Angesichts der heutigen Lage in Nigeria ist gemäss konstanter Praxis nicht von einer Situation allgemeiner Gewalt oder kriegerischen respektive bürgerkriegsähnlichen Verhältnissen zu sprechen.</w:t>
      </w:r>
    </w:p>
    <w:p>
      <w:r>
        <w:rPr>
          <w:b/>
        </w:rPr>
        <w:t>E. 5.3.2</w:t>
      </w:r>
    </w:p>
    <w:p>
      <w:r>
        <w:t>Auch aus individueller Sicht erweist sich ein Wegweisungsvollzug der Beschwerdeführerin und ihres Kindes nach Nigeria als zumutbar. Zwar ist nicht zu verkennen, dass die Beschwerdeführerin, die Glaubhaftigkeit ihrer Asylvorbringen vorausgesetzt, möglicherweise nicht mit der Unterstützung ihrer in Nigeria verbliebenen Familienangehörigen rechnen kann, da ihre Familie sie nach der Heirat im (...) verstossen haben soll. Allerdings ist die Beschwerdeführerin vergleichsweise jung und gesund und hat bereits vor ihrem Wegzug nach H._______ mehrere Jahre in Lagos für verschiedene Familien als I._______ gearbeitet (vgl. act. A27/11 S. 3). Sie steht überdies telefonisch in regem Kontakt zu ihrem nach wie vor in H._______ befindlichen Ehemann (vgl. act. A6/10 S. 3 i.V.m. act. A25/7 S. 1). So besehen spricht auch nichts dagegen, dass die Beschwerdeführerin ihre Ehe in Nigeria leben kann und sich dort gemeinsam mit ihrem Ehemann trotz langjährigem Aufenthalt ausserhalb ihres Heimatstaats eine neue Existenz aufbaut. Dabei hat bereits die Vorinstanz auf die Möglichkeit hingewiesen, die Rückkehrhilfe der Schweiz (Art. 93 AsylG) in Anspruch zu nehmen, was ihr den Wiedereinstieg in Nigeria ebenfalls erleichtern wird (vgl. Art. 62 ff. der Asylverordnung 2 über Finanzierungsfragen vom 11. August 1999 [AsylV 2, SR 142.312]). Weiter ist darauf hinzuweisen, dass blosse soziale und wirtschaftliche Schwierigkeiten, von denen die ansässige Bevölkerung im Allgemeinen betroffen ist, nicht genügen, um eine Gefährdung im Sinne von Art. 83 Abs. 4 AuG darzustellen (vgl. BVGE 2008/34 E. 11.2.2).</w:t>
      </w:r>
    </w:p>
    <w:p>
      <w:r>
        <w:rPr>
          <w:b/>
        </w:rPr>
        <w:t>E. 5.3.3</w:t>
      </w:r>
    </w:p>
    <w:p>
      <w:r>
        <w:t>Nach dem Gesagten erweist sich der Vollzug der Wegweisung auch als zumutbar.</w:t>
      </w:r>
    </w:p>
    <w:p>
      <w:r>
        <w:rPr>
          <w:b/>
        </w:rPr>
        <w:t>E. 5.4</w:t>
      </w:r>
    </w:p>
    <w:p>
      <w:r>
        <w:t>Schliesslich obliegt es der Beschwerdeführerin, für sich und ihre Tochter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den Beschwerdeführerinnen aufzuerlegen (Art. 63 Abs. 1 VwVG). Da sich die Beschwerde indessen nicht als zum Vornherein aussichtslos erwiesen hat und die Bedürftigkeit belegt worden ist, sind - in Gutheissung des Gesuchs um unentgeltliche Prozessführung -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