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D-1325/2013 vom 13. Juni 2013</w:t>
      </w:r>
    </w:p>
    <w:p>
      <w:r>
        <w:t>Bundesverwaltungsgericht, 2013-06-13, DE</w:t>
      </w:r>
    </w:p>
    <w:p>
      <w:r>
        <w:rPr>
          <w:b/>
        </w:rPr>
        <w:t xml:space="preserve">Quelle: </w:t>
      </w:r>
      <w:r>
        <w:t>https://mcp.opencaselaw.ch/entscheid/bvger_D-1325_2013</w:t>
      </w:r>
    </w:p>
    <w:p>
      <w:r>
        <w:t>FR: TAF D-1325/2013 du 13 juin 2013</w:t>
      </w:r>
    </w:p>
    <w:p>
      <w:r>
        <w:t>IT: TAF D-1325/2013 del 13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verfahrensrechtlichen Rügen sind vorab zu prüfen, zumal die Sache an die Vorinstanz zurückzuweisen wäre, falls sich der Vorwurf der Verlet­zung des rechtlichen Gehörs bewahrheiten sollte.</w:t>
      </w:r>
    </w:p>
    <w:p>
      <w:r>
        <w:rPr>
          <w:b/>
        </w:rPr>
        <w:t>E. 3.1</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m.w.H.). Was die daraus resultierenden Anforderungen an die mündliche Anhörung gemäss Art. 29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BVGE 2007/30 E. 5.5.1 f.; Walter Kälin, Grundriss des Asylverfahrens, Ba­sel/Frankfurt a.M.1990, S. 256 f.).</w:t>
      </w:r>
    </w:p>
    <w:p>
      <w:r>
        <w:rPr>
          <w:b/>
        </w:rPr>
        <w:t>E. 3.2</w:t>
      </w:r>
    </w:p>
    <w:p>
      <w:r>
        <w:t>Diesen Anforderungen ist die Vorinstanz entgegen der Auffassung des Beschwerdeführers nachgekommen. Das Aussageverhalten des Beschwerdeführer lässt nicht erkennen, dass er sich in einer derartigen Druck- oder Stresssituationen befand, dass er der Befragung nicht habe folgen beziehungsweise nicht das habe sagen können, was er sagen wollte. Aufgrund des Befragungs- sowie des Anhörungsprotokolle gewinnt man vielmehr den Eindruck einer klar orientierten, geistig präsenten und selbstsicheren Person. Der Erklärungsversuch, wonach unter anderem die massiven Unsicherheiten im Zusammenhang mit den Zeitangaben allenfalls auf traumatisierende Erlebnisse des Beschwerdeführers zurückzuführen seien oder einen Hinweis auf das Vorliegen einer psychischen Störung bilden könnten, und das BFM ohne nähere Klärungen fälschlicherweise von einer intakten Urteilsfähigkeit ausgegangen sei und dieses Vorgehen eine unvollständige Sachverhaltsabklärung im Sinne von Art. 12 VwVG darstelle, ändert nichts daran, dass auf der formal-rechtlichen Ebene dem Beschwerdeführer von der Vorinstanz anlässlich der Befragungen, namentlich während der mehrstündigen Anhörung vom 12. April 2012 (13.30 Uhr bis 17.45 Uhr, inklusive Rückübersetzung), in ausreichender Weise die Möglichkeit zur vollständigen Darlegung all seiner Gründe gegeben wurde. Eine Verletzung des Anspruchs auf rechtliches Gehör ist im vorinstanzlichen Vorgehen nicht zu erblicken.</w:t>
      </w:r>
    </w:p>
    <w:p>
      <w:r>
        <w:rPr>
          <w:b/>
        </w:rPr>
        <w:t>E. 3.3</w:t>
      </w:r>
    </w:p>
    <w:p>
      <w:r>
        <w:t>Im Übrigen verpflichtet Art. 19 VwVG i.V.m. Art. 37 des Bundesgesetzes vom 4. Dezember 1947 über den Bundeszivilprozess (BZP, SR 273)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3.4</w:t>
      </w:r>
    </w:p>
    <w:p>
      <w:r>
        <w:t>Demnach hat das BFM seine Untersuchungspflicht nicht verletzt, indem es weitere Abklärungen beziehungsweise Botschaftsabklärungen unterlassen hat. Vielmehr durfte die Vorinstanz gestützt auf dem gerichtsnotorischen Umstand, dass Beweismittel aller Art in der Heimat des Beschwerdeführers leicht erwerb- und manipulierbar sind, davon ausgehen, dass diese nicht beweiskräftig sind. In antizipierter Beweiswürdigung ist somit festzustellen, dass eine ergänzende, vertiefte Sachverhaltsfeststellung bei der Beurteilung des vorliegenden Verfahrens nicht zu einem anderen Entscheid führen könnte, da die Vorbringen des Beschwerdeführers offensichtlich unglaubhaft sind (siehe E. 7.1.). Die entsprechenden Beweisanträge werden demnach abgewiesen.</w:t>
      </w:r>
    </w:p>
    <w:p>
      <w:r>
        <w:rPr>
          <w:b/>
        </w:rPr>
        <w:t>E. 4.1</w:t>
      </w:r>
    </w:p>
    <w:p>
      <w:r>
        <w:t>In der Beschwerde wird des Weiteren gerügt, das BFM habe die Ak­ten nicht vollständig offengelegt, insbesondere die unter A 12 registrierten Akten.</w:t>
      </w:r>
    </w:p>
    <w:p>
      <w:r>
        <w:rPr>
          <w:b/>
        </w:rPr>
        <w:t>E. 4.2</w:t>
      </w:r>
    </w:p>
    <w:p>
      <w:r>
        <w:t>Gemäss bundesgerichtlicher Rechtsprechung bezieht sich das Akteneinsichtsrecht auf sämtliche verfahrensbezogene Akten, die geeignet sind, Grundlage des Entscheids zu bilden. Die Akteneinsicht ist demnach auch zu gewähren, wenn die Ausübung des Akteneinsichtsrecht den Entscheid in der Sache nicht zu beeinflussen vermag (vgl. Urteil des Schweizerischen Bundesgerichts vom 13. August 1996, 2A.444/1995). Das Gesetz hält zudem unmissverständlich fest, dass die Einsichtnahme in eigene Eingaben der Partei, ihre als Beweismittel eingereichten Urkunden und ihr eröffnete Verfügungen nicht verweigert werden darf (Art. 27 Abs. 3 VwVG).</w:t>
      </w:r>
    </w:p>
    <w:p>
      <w:r>
        <w:rPr>
          <w:b/>
        </w:rPr>
        <w:t>E. 4.3</w:t>
      </w:r>
    </w:p>
    <w:p>
      <w:r>
        <w:t>Mit Zwischenverfügung vom 9. April 2013 wurde dem Beschwerdeführer Einsicht in die Aktenstücke A5/1, A7/2 und A8/1 [...] sowie A10/11[...], A12 (Beweismittelkuvert) und A14/1 [...] gewährt. Gleichzeitig erhielt er die Gelegenheit, bis zum 24. April 2013 Stellung zu den Akten zu nehmen. Mit Eingabe vom 23. April 2013 liess sich der Beschwerdeführer fristgerecht vernehmen.</w:t>
      </w:r>
    </w:p>
    <w:p>
      <w:r>
        <w:rPr>
          <w:b/>
        </w:rPr>
        <w:t>E. 4.4</w:t>
      </w:r>
    </w:p>
    <w:p>
      <w:r>
        <w:t>Zudem hat das BFM mit Schreiben vom 17. April 2013 dem Beschwerdeführer ebenfalls vollständige Akteneinsicht in die Akte 12 gewährt. Dies wurde denn auch vom Beschwerdeführer in seiner Stellungnahme vom 10. Mai 2013 bestätigt.</w:t>
      </w:r>
    </w:p>
    <w:p>
      <w:r>
        <w:rPr>
          <w:b/>
        </w:rPr>
        <w:t>E. 4.5</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Beschwerdeführenden dazu Stellung nehmen können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4.6</w:t>
      </w:r>
    </w:p>
    <w:p>
      <w:r>
        <w:t>Wie vorstehend bereits ausgeführt (vgl. E. 4.3) wurden dem Beschwerdeführer mit Zwischenverfügung vom 9. April 2013 die Aktenstücke A5/1, A7/2, A8/1, A10/11, A12 sowie A14/1 in Kopie übermittelt. Gleichzeitig wurde ihm die Gelegenheit gegeben, dazu bis am 24. April 2013, eine Stellungnahme einzureichen. Mit Eingabe vom 23. April 2013 liess er sich diesbezüglich vernehmen. Angesichts der dem Beschwerdeführer gewährten Gelegenheit zur Stellungnahme kann der vorliegende Verfahrensmangel als geheilt erachtet werden (vgl. BVGE 2008/47 E. 3.3.4 S. 676 f.).</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Vorbringen in der Beschwerde vom 12. März 2013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aber die Erwägungen des Bundesamtes nicht umzustossen, zumal der Beschwerdeführer die in der angefochtenen Verfügung aufgezeigten Unstimmigkeiten insgesamt nicht bestreitet, sondern nur den Einwand erhebt, die Unstimmigkeiten würden sich in erster Linie auf konkrete Zeitangaben und nicht auf Ortsangaben oder Ereignisse beziehen und im Übrigen sei der summarische Charakter der Kurzbefragung sowie der zeitliche Abstand zwischen der Kurzbefragung und der Anhörung zu berücksichtigen. Der Beschwerdeführer hat aber den Wortlaut sämtlicher Protokolle mit seiner Unterschrift bestätigt und muss sich deshalb seine Aussagen entgegenhalten lassen, zumal er die übersetzende Person anlässlich der Kurzbefragung "molto bene" (vgl. A4/11 S. 8) und anlässlich der Anhörung "gut" (vgl. A13/20 S. 1) verstanden haben will. Abgesehen davon beziehen sich die Unstimmigkeiten sehr wohl auf Ereignisse und nicht nur auf Datierungen. So will denn auch der Beschwerdeführer seinen Angaben bei der Kurzbefragung zufolge, zuvor noch nie im Ausland gewesen sein (vgl. A4/ 11. S. 8), währendem er bei der Anhörung erklärte, er habe nicht nur in Ägypten, sondern auch in Saudi Arabien und im Jemen gearbeitet (vgl. A13/20 S. 17 F. 153). Soweit der Beschwerdeführer bei der Anhö­rung geltend machte, er habe bereits bei der Kurzbefragung seine Mitgliedschaft bei der Partei erwähnt, und es sei ihm auch so rückübersetzt worden (vgl. A13/20 S. 15 f. F. 140 f.), ist festzuhalten, dass der Beschwerdeführer bei der Anhörung das Protokoll ohne Rückübersetzung unterschreiben wollte (vgl. A13/20). Gemäss dem entsprechenden Ver­merk der Hilfswerkvertretung, habe er frühzeitig gehen wollen, als er gesehen habe, wie viele Seiten (rück) zu übersetzen wären (vgl. ebd). Dennoch sei die Rückübersetzung korrekt durchgeführt worden. Die Hilfs­werksvertretung interpretierte diese Verhalten nicht als Gleichgültigkeit, sondern dahin, dass der Beschwerdeführer dem Team nicht noch länger habe zur Last fallen wollen. In Anbetracht dessen, welche Bedeutung die Anhörung für Asylbewerber im Allgemeinen hat und insbesondere im vorliegenden Fall, wo der Beschwerdeführer die Gelegenheit gehabt hätte, die Ungereimtheiten in seinen Vorbringen auszuräumen, erstaunt ein solches Verhalten sehr. Für das Bundesverwaltungsgericht besteht nach dem Studium der Akten keine Veranlassung, die Erwägungen des BFM zu beanstanden. Um Wiederholungen zu vermeiden kann auf die zutreffenden Erwägungen in der angefochtenen Verfügung verwiesen werden.</w:t>
      </w:r>
    </w:p>
    <w:p>
      <w:r>
        <w:rPr>
          <w:b/>
        </w:rPr>
        <w:t>E. 6.2</w:t>
      </w:r>
    </w:p>
    <w:p>
      <w:r>
        <w:t>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Ägypten befürchten müsste. Er erfüllt somit die Voraus­setzungen zur Zuerkennung der Flüchtlingseigenschaft nicht, weshalb die Vorinstanz sein Asylbegehren zu Recht abgelehnt hat. Es erübrigt sich deshalb, auf die weiteren Vorbringen in der Rechtsmitteleingabe sowie die eingereichten Beweismittel im Einzelnen einzugehen, da sie an obiger Erkenntnis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Ägypten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Ägypten herrscht keine Situation allgemeiner Gewalt, weshalb in konstanter Praxis von der generellen Zumutbarkeit des Wegweisungsvoll­zugs dorthin ausgegangen wird (vgl. statt vieler Urteil des Bundesverwal­tungsgerichts E-3654/2012 vom 20. Juli 2012 E. 5.3 m.w.H.). Der Beschwerdeführer hat in seiner Heimat zwölf Jahre lang die Schule besucht und verfügt über Berufserfahrung als Schweisser und Techniker. Auch im Sicherheitsdienst einer Bank konnte er Berufserfahrung gewinnen (vgl. A4/11 S. 2 f.). Er will ferner in Saudi-Arabien und im Jemen berufstätig gewesen sein (vgl. A13/20 S. 17 F. 153). Seine Flexibilität, in verschiedenen Branchen, aber auch im Ausland tätig gewesen zu sein sowie seine Bereitschaft, in die Schweiz zu reisen, lässt auf seine Fähigkeit schliessen, sich an veränderte Verhältnisse anzupassen. Folglich wird er auch in der Lage sein, sich in der Heimat erneut wirtschaftlich zu integrieren. Es ist somit davon auszugehen, dass er bei einer Rückkehr den Lebensunterhalt für sich, seine Ehefrau und die drei gemeinsamen Kinder bestreiten kann. Zudem leben seine Eltern und seine insgesamt fünf Geschwister im Heimatland, die ihn bei einer Rückkehr unterstützen können. Der Vollzug ist demnach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Gemäss Art. 65 Abs. 1 VwVG haben auf Antrag hin diejenigen Personen Anspruch auf unentgeltliche Rechtspflege, welche nicht über die erforderlichen Mittel verfügen und deren Begehren nicht aussichtslos er­scheinen.</w:t>
      </w:r>
    </w:p>
    <w:p>
      <w:r>
        <w:rPr>
          <w:b/>
        </w:rPr>
        <w:t>E. 10.2</w:t>
      </w:r>
    </w:p>
    <w:p>
      <w:r>
        <w:t>Der Beschwerdeführer stellte mit der Beschwerde unter anderem den Antrag, ihm sei die unentgeltliche Rechtspflege im Sinne von Art. 65 Abs. 1 VwVG sowie die unentgeltiche Verbeiständung im Sinne von Art. 65 Abs. 2 VwVG zu gewähren. Die vom Beschwerdeführer gestellten Rechtsbegehren erschienen im Zeitpunkt der Beschwerdeein­gabe nicht aussichtslos und von seiner Bedürftigkeit im Sinne von Art. 65 Abs. 1 VwVG kann ausgegangen werden.</w:t>
      </w:r>
    </w:p>
    <w:p>
      <w:r>
        <w:rPr>
          <w:b/>
        </w:rPr>
        <w:t>E. 10.3</w:t>
      </w:r>
    </w:p>
    <w:p>
      <w:r>
        <w:t>Das Gesuch um Gewährung der unentgeltlichen Rechtspflege im Sinne von Art. 65 Abs. 1 VwVG ist deshalb gutzuheissen. Es werden keine Verfahrenskosten erhoben.</w:t>
      </w:r>
    </w:p>
    <w:p>
      <w:r>
        <w:rPr>
          <w:b/>
        </w:rPr>
        <w:t>E. 10.4</w:t>
      </w:r>
    </w:p>
    <w:p>
      <w:r>
        <w:t>Ausschlaggebend für die Gewährung der unentgeltlichen Rechtsverbeiständung im Sinne von Art. 65 Abs. 2 VwVG ist das Kriterium, ob die Beschwerde führende Partei zur Wahrung ihrer Rechte notwendigerweise der professionellen juristischen Hilfe eines Anwaltes bedarf (vgl. dazu Urteil des Bundesverwaltungsgerichts D-4857/2011 vom 12. Juli 2012 E. 10 S. 16 m.w.H.). In Verfahren, welche wie das vorliegende vom Untersuchungsgrundsatz beherrscht sind, sind strenge Massstäbe an die Gewährung der unentgeltlichen Rechtspflege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52. Abs. 2 VwVG praxisgemäss nur in besonderen Fällen gewährt, in welchen in rechtlicher oder tatsächlicher Hinsicht erhöhte Schwierigkeiten bestehen. Dies ist vorliegend nicht der Fall, weshalb das Gesuch um Gewährung der unentgeltlichen Verbeiständung im Sinne von Art. 65 Abs. 2 VwVG abzuweisen ist.</w:t>
      </w:r>
    </w:p>
    <w:p>
      <w:r>
        <w:rPr>
          <w:b/>
        </w:rPr>
        <w:t>E. 11</w:t>
      </w:r>
    </w:p>
    <w:p>
      <w:r>
        <w:t>Beschwerdeführenden ist auch trotz materieller Abweisung der Be­schwerde eine angemessene Parteientschädigung zuzusprechen, wenn ein Verfahrensmangel, welcher grundsätzlich zur Kassation der angefochtenen Verfügung hätte führen müssen, im Beschwerdeverfahren geheilt wird (vgl. EMARK 2003 Nr. 5). Vorliegend wurde dem Beschwerdefüh­rer das rechtliche Gehör zu den Aktenstücken A5/1, A7/2, A8/1, A10/11 sowie A14/1 nicht schon durch die Vorinstanz, sondern erst auf Beschwerdeebene gewährt. Dieser Mangel wurde erst durch die nachträgliche Gewährung der Akteneinsicht sowie die Einräumung einer Stellungnahme geheilt. Für die diesbezüglichen Aufwendungen des Beschwerdeführers ist ihm trotz Abweisung seiner Beschwerde eine vom BFM auszurichtende reduzierte Parteientschädigung zuzusprechen, die in Anwendung der zu berücksichtigenden Faktoren auf Fr. 500.-- zu bemessen ist (vgl. Art. 64 Abs. 1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