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D-1324/2025 vom 11. April 2025</w:t>
      </w:r>
    </w:p>
    <w:p>
      <w:r>
        <w:t>Bundesverwaltungsgericht, 2025-04-11, IT</w:t>
      </w:r>
    </w:p>
    <w:p>
      <w:r>
        <w:rPr>
          <w:b/>
        </w:rPr>
        <w:t xml:space="preserve">Quelle: </w:t>
      </w:r>
      <w:r>
        <w:t>https://mcp.opencaselaw.ch/entscheid/bvger_D-1324_2025</w:t>
      </w:r>
    </w:p>
    <w:p>
      <w:r>
        <w:t>FR: TAF D-1324/2025 du 11 avril 2025</w:t>
      </w:r>
    </w:p>
    <w:p>
      <w:r>
        <w:t>IT: TAF D-1324/2025 del 11 aprile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t>D-1324/2025 Pagina 3</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 lare le allegazioni che su punti importanti sono troppo poco fondate o con- traddittorie, non corrispondono ai fatti o si basano in modo determinante su mezzi di prova falsi o falsificati (art. 7 cpv. 3 LAsi). La giurisprudenza e la dottrina riconoscono determinati elementi per riconoscere la verosimi- glianza delle allegazioni: quest’ultime devono essere sufficientemente fon- date, concludenti e plausibili (cfr. DTAF 2013/11 consid. 5.1).</w:t>
      </w:r>
    </w:p>
    <w:p>
      <w:r>
        <w:rPr>
          <w:b/>
        </w:rPr>
        <w:t>E. 3.2.1</w:t>
      </w:r>
    </w:p>
    <w:p>
      <w:r>
        <w:t>Ciò posto, il Tribunale giudica che l’autorità inferiore ha correttamente concluso per l’inverosimiglianza delle affermazioni dell’interessato in rela- zione alla sua detenzione, al presunto soggiorno a B._______ nonché alle circostanze concrete dell’espatrio. Le affermazioni presentano, infatti, di- verse incongruenze logiche, non risultano plausibili e sono prive di suffi- cienti dettagli di qualità e di contenuto, sollevando quindi seri dubbi sulla veridicità degli eventi narrati (cfr. decisione avversata, pagg. 5-7).</w:t>
      </w:r>
    </w:p>
    <w:p>
      <w:r>
        <w:t>D-1324/2025 Pagina 4</w:t>
      </w:r>
    </w:p>
    <w:p>
      <w:r>
        <w:rPr>
          <w:b/>
        </w:rPr>
        <w:t>E. 3.2.2</w:t>
      </w:r>
    </w:p>
    <w:p>
      <w:r>
        <w:t>Anzitutto, egli ha fornito delle risposte vaghe sulle circostanze dell’ar- resto, senza indicare con precisione l’autorità che avrebbe disposto la sua detenzione e adducendo una motivazione implausibile, quella della man- cata detenzione della tessera scolastica, per giustificare un periodo di de- tenzione così prolungato (cfr. atto SEM n. 15/15 D11-15). Per quanto ri- guarda le condizioni di prigionia, nonostante le ripetute domande volte ad approfondire l’argomento, si è inoltre limitato a riferire dettagli generici, senza fornire informazioni concrete sulle condizioni della cella, sui maltrat- tamenti o sulle difficoltà che avrebbe affrontato durante la reclusione (idem D12-20 e D87-89).</w:t>
      </w:r>
    </w:p>
    <w:p>
      <w:r>
        <w:rPr>
          <w:b/>
        </w:rPr>
        <w:t>E. 3.2.3</w:t>
      </w:r>
    </w:p>
    <w:p>
      <w:r>
        <w:t>Anche il racconto del periodo trascorso a B._______ risulta superfi- ciale e priva di elementi concreti. In particolare, l’insorgente si è limitato a fornire dettagli marginali su una giornata tipo, senza descrivere momenti di isolamento o abitudini quotidiane vissute in prima persona (cfr. atto SEM n. 15/15 D11, D28, D41 e D87-89). Inoltre, non ha saputo specificare in modo convincente né la struttura dell’edificio né il tipo di sorveglianza eser- citata dalle autorità del centro in cui sarebbe stato detenuto (idem D25-37). Il richiedente ha addotto di aver subìto violenze e maltrattamenti, ma inter- rogato sulle punizioni inflitte ai detenuti e sulle percosse ricevute, ha fornito solo episodi vaghi, senza descrivere con precisione chi lo avrebbe colpito, con quale frequenza e per quale motivo. In un primo tempo, peraltro, ha minimizzato la gravità dei maltrattamenti subiti, affermando che non gli sa- rebbero “successe tante cose brutte” se non quella di aver assistito all’uc- cisione di una persona davanti a suoi occhi (idem D11, D28 e D41-42).</w:t>
      </w:r>
    </w:p>
    <w:p>
      <w:r>
        <w:rPr>
          <w:b/>
        </w:rPr>
        <w:t>E. 3.2.4</w:t>
      </w:r>
    </w:p>
    <w:p>
      <w:r>
        <w:t>Il richiedente ha poi fornito un resoconto frammentario delle circo- stanze del suo espatrio. Infatti, non ha spiegato come sia riuscito concre- tamente a lasciare il centro di addestramento – nonostante la fuga fosse punita frequentemente con l'esecuzione pubblica – né ha chiarito in modo credibile il percorso di fuga seguito e il coinvolgimento dei presunti passa- tori per attraversare la frontiera (cfr. atto SEM n. 15/15 D54-67).</w:t>
      </w:r>
    </w:p>
    <w:p>
      <w:r>
        <w:rPr>
          <w:b/>
        </w:rPr>
        <w:t>E. 3.2.5</w:t>
      </w:r>
    </w:p>
    <w:p>
      <w:r>
        <w:t>In queste circostanze, si può ragionevolmente ammettere che la pre- sunta detenzione patita dall’interessato non è supportata da elementi con- creti, che la sua esperienza a B._______ appare costruita su informazioni stereotipate e prive di fondamento e, infine, che le circostanze dell’espatrio mancano di coerenza e chiarezza. L’incapacità di fornire risposte coerenti e dettagliate, nonostante i solleciti della SEM, rende infatti inverosimile che abbia vissuto personalmente gli eventi narrati. Posta l’inconcludenza delle allegazioni, il rischio di essere incarcerato in caso di rimpatrio si rivela quindi infondato.</w:t>
      </w:r>
    </w:p>
    <w:p>
      <w:r>
        <w:t>D-1324/2025 Pagina 5</w:t>
      </w:r>
    </w:p>
    <w:p>
      <w:r>
        <w:rPr>
          <w:b/>
        </w:rPr>
        <w:t>E. 3.3</w:t>
      </w:r>
    </w:p>
    <w:p>
      <w:r>
        <w:t>Va comunque rilevato che, in assenza di specifici fattori di rischio che qualifichino il ricorrente come oppositore al governo eritreo (cfr. consid. 3.2 supra), le eventuali sanzioni derivanti dalla sua fuga illegale dal Paese, ri- spettivamente la prospettiva di dover svolgere il servizio nazionale nel con- testo eritreo, non costituiscono dei pregiudizi rilevanti ai sensi dell’art. 3 LAsi (per la rilevanza dell’espatrio, cfr. sentenza del TAF D-7898/2015 del 30 gennaio 2017 consid. 4.1 e 5.1 seg. [sentenza di riferimento]; per quella dell’arruolamento militare, cfr. DTAF 2018 VI/4 consid. 3.1; ex pluris sen- tenza del TAF E-8242/2024 del 13 gennaio 2025 consid. 7.3).</w:t>
      </w:r>
    </w:p>
    <w:p>
      <w:r>
        <w:rPr>
          <w:b/>
        </w:rPr>
        <w:t>E. 3.4</w:t>
      </w:r>
    </w:p>
    <w:p>
      <w:r>
        <w:t>In ultima analisi, il Tribunale giudica che l’esecuzione dell’allontana- mento pronunciato dalla SEM conformemente all’art. 44 LAsi si rivela pos- sibile, ammissibile e ragionevolmente esigibile ai sensi dell’art. 83 cpv. 2-4 della legge sugli stranieri e la loro integrazione del 16 dicembre 2005 (LStrI, RS 142.20). Anzitutto, contrariamente a quanto sembra pretendere il ricor- rente, in Eritrea non vige attualmente una situazione di guerra, guerra civile o violenza generalizzata che coinvolga l'insieme della popolazione nella totalità del territorio nazionale, tale da riconoscere l’esistenza di un pericolo concreto per tutte le persone originarie di tale Paese (cfr. DTAF 2018 VI/4 consid. 6.2; sentenza del Tribunale D-2311/2016 del 17 agosto 2017 [pub- blicata quale sentenza di riferimento] consid. 17). Inoltre, il ricorrente non può prevalersi di motivi personali ostativi al suo rimpatrio. Egli non soffre, infatti, di gravi problemi di salute curabili soltanto in Svizzera (cfr. DTAF 2011/50 consid. 8.3), in quanto affetto da una lesione tra due dita della mano sinistra ([…]) per la quale è stata consigliata l’asportazione in chirur- gia ambulatoriale senza indicazioni d’urgenza (cfr. atti SEM n. 12/2, 15/15 e 23/1). Egli è inoltre giovane, celibe, gode di una sufficiente scolarizza- zione e dispone di una valida esperienza professionale quale meccanico di biciclette e fattorino (cfr. atto SEM n. 15/15 D69-73). Non è quindi vero- simile ch’egli riscontrerà difficoltà eccessive nell’ambito della sua reintegra- zione lavorativa e sociale in patria (cfr. decisione avversata pag. 8). Va in- fine osservato che la situazione generale dei diritti umani in Eritrea non è tale da rendere inammissibile l’esecuzione del suo allontanamento (cfr. DTAF 2018 VI/4 consid. 6.1; ex pluris E-8243/2024 del 13 gennaio 2025 consid. 8; D-4285/2024 del 5 settembre 2024 consid. 7.2.5). Ad ogni buon conto, l’interessato potrà richiedere un sostegno finanziario per assicurare l’assistenza medica per un periodo limitato nel Paese d’origine – ottenendo una riserva di medicinali o il pagamento dei costi per l’asportazione chirur- gica del corpo estraneo nella mano – prima del suo allontanamento dalla Svizzera (cfr. art. 93 cpv. 1 lett. d LAsi e art. 73 segg. dell’Ordinanza 2 sull’asilo relativa alle questioni finanziarie dell’11 agosto 1999 [OAsi 2, RS 142.31]).</w:t>
      </w:r>
    </w:p>
    <w:p>
      <w:r>
        <w:t>D-1324/2025 Pagina 6</w:t>
      </w:r>
    </w:p>
    <w:p>
      <w:r>
        <w:rPr>
          <w:b/>
        </w:rPr>
        <w:t>E. 3.5</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Il ricorso va quindi respinto.</w:t>
      </w:r>
    </w:p>
    <w:p>
      <w:r>
        <w:rPr>
          <w:b/>
        </w:rPr>
        <w:t>E. 5</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6</w:t>
      </w:r>
    </w:p>
    <w:p>
      <w:r>
        <w:t>Questa sentenza è definitiva e non può essere impugnata con ricorso in materia di diritto pubblico al Tribunale federale (art. 83 lett. d cifra 1 LTF).</w:t>
      </w:r>
    </w:p>
    <w:p>
      <w:r>
        <w:t>(dispositivo alla pagina seguente)</w:t>
      </w:r>
    </w:p>
    <w:p>
      <w:r>
        <w:t>D-1324/2025 Pagina 7 Per questi motivi, il Tribunale amministrativo federale pronun- cia: 1. Il ricorso è respinto. 2. Le spese processuali di CHF 750.– sono poste a carico del ricorrente. Tale ammontare deve essere versato alla cassa del Tribunale amministrativo federale, entro un termine di 30 giorni dalla spedizione della presente sen- tenza. 3.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