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D-1322/2024 vom 11. April 2024</w:t>
      </w:r>
    </w:p>
    <w:p>
      <w:r>
        <w:t>Bundesverwaltungsgericht, 2024-04-11, DE</w:t>
      </w:r>
    </w:p>
    <w:p>
      <w:r>
        <w:rPr>
          <w:b/>
        </w:rPr>
        <w:t xml:space="preserve">Quelle: </w:t>
      </w:r>
      <w:r>
        <w:t>https://mcp.opencaselaw.ch/entscheid/bvger_D-1322_2024</w:t>
      </w:r>
    </w:p>
    <w:p>
      <w:r>
        <w:t>FR: TAF D-1322/2024 du 11 avril 2024</w:t>
      </w:r>
    </w:p>
    <w:p>
      <w:r>
        <w:t>IT: TAF D-1322/2024 del 11 aprile 2024</w:t>
      </w:r>
    </w:p>
    <w:p>
      <w:pPr>
        <w:pStyle w:val="Heading2"/>
      </w:pPr>
      <w:r>
        <w:t>Regeste</w:t>
      </w:r>
    </w:p>
    <w:p>
      <w:r>
        <w:t>Asyl und Wegweisung</w:t>
      </w:r>
    </w:p>
    <w:p>
      <w:pPr>
        <w:pStyle w:val="Heading2"/>
      </w:pPr>
      <w:r>
        <w:t>Erwägungen</w:t>
      </w:r>
    </w:p>
    <w:p>
      <w:r>
        <w:rPr>
          <w:b/>
        </w:rPr>
        <w:t>E. 2</w:t>
      </w:r>
    </w:p>
    <w:p>
      <w:r>
        <w:t>April 2024), kopiert erscheinen, dass diese Einschätzung durch den Umstand, dass sowohl der Stempel als auch die Unterschrift auf beiden Seiten des Dokuments komplett iden- tisch abgebildet werden, bestätigt wird, dass ohnehin der enge zeitliche Bezug zwischen dem negativen Asylent- scheid des SEM vom 6. Februar 2024 und dem auf Beschwerdeebene neu zu den Akten gereichten Beweismittel (datiert vom 22. Februar 2024), An- lass zur Annahme gibt, der Beschwerdeführer habe dieses bewusst kon- struiert respektive käuflich erworben, um sich einen unrechtmässigen Vor- teil zu verschaffen, zumal er auch nicht nachvollziehbar zu erklären ver- mag, weshalb es ihm trotz mehrfacher Aufforderung des SEM (vgl. A12/11 F4.04, F8.01 und A36/16 F89) erst rund 17 Monate nach Gesuchseinrei- chung möglich war, Identitätsdokumente vorzulegen,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w:t>
      </w:r>
    </w:p>
    <w:p>
      <w:r>
        <w:t>D-1322/2024 Seite 7 (Art. 44 [erster Satz] AsylG; BVGE 2013/37 E. 4.4 und 2009/50 E. 9, je m.w.H.), dass denn auch die Vorinstanz den Wegweisungsvollzug zu Recht als zu- lässig, zumutbar und möglich erkannte und zur Vermeidung von Wieder- holungen auch hierzu auf die zu bestätigenden, umfassenden und praxis- gestützten Ausführungen des SEM in der angefochtenen Verfügung ver- wiesen werden kann, dass angesichts der zu bestätigenden vorinstanzlichen Erkenntnis, wo- nach aufgrund der Mitwirkungspflichtverletzung und Täuschungsabsicht des Beschwerdeführers die Untersuchungs- und die Prüfungspflicht der Asylbehörden hinsichtlich des Wegweisungsvollzuges beschränkt seien, praxisgemäss von der Durchführbarkeit des Wegweisungsvollzuges (Zu- lässigkeit, Zumutbarkeit und Möglichkeit) und insbesondere vom Nichtbe- stehen einer existenziellen Notlage – zumindest in Nordsomalia, wo im Ge- gensatz zu anderen Landesteilen nach konstanter Praxis keine Situation allgemeiner Gewalt herrscht – auszugehen ist (vgl. Urteil des BVGer E-3244/2020 vom 3. August 2023 E. 5.3 m.w.H.), dass daher keine Notwendigkeit zur Vornahme weiterer Abklärungen be- steht, zumal den vorinstanzlichen Erwägungen in der Beschwerdeschrift auch nichts Substantielles entgegengesetzt wird,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w:t>
      </w:r>
    </w:p>
    <w:p>
      <w:r>
        <w:t>D-1322/2024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