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D-1316/2012 vom 21. März 2012</w:t>
      </w:r>
    </w:p>
    <w:p>
      <w:r>
        <w:t>Bundesverwaltungsgericht, 2012-03-21, DE</w:t>
      </w:r>
    </w:p>
    <w:p>
      <w:r>
        <w:rPr>
          <w:b/>
        </w:rPr>
        <w:t xml:space="preserve">Quelle: </w:t>
      </w:r>
      <w:r>
        <w:t>https://mcp.opencaselaw.ch/entscheid/bvger_D-1316_2012</w:t>
      </w:r>
    </w:p>
    <w:p>
      <w:r>
        <w:t>FR: TAF D-1316/2012 du 21 mars 2012</w:t>
      </w:r>
    </w:p>
    <w:p>
      <w:r>
        <w:t>IT: TAF D-1316/2012 del 21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praxisgemäss ohne weiteres darüber be­funden werden kann. Der vorliegende Entscheid ergeht in­dessen in deut­scher Sprache (Art. 33a Abs. 2 VwVG i.V.m. Art. 6 AsylG)</w:t>
      </w:r>
    </w:p>
    <w:p>
      <w:r>
        <w:rPr>
          <w:b/>
        </w:rPr>
        <w:t>E. 1.4</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 Die Beschwerde ist frist- und formgerecht eingereicht.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die Beschwerdeführerin von der Botschaft in Colombo zu ihrem Asylgesuch vom 3. Juli 2008 nicht an­gehört. In­des wurde sie im Rahmen des rechtlichen Gehörs mittels Schreiben vom 13. Juli 2010 zur weiteren Konkretisierung ihrer Asylgründe auf­gefordert (vgl. Bst. B hiervor). In Verbindung mit den bereits vorgängig ent­haltenen Fragestellungen sowie den entsprechenden Antworten der Beschwerdeführerin dazu (vgl. Bst. A Ab­schnitt 2 und 3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Die Beschwerdeführerin beantwortete die ihr gestellten Fragen jeweils ausführlich und unterlegte ihre Angaben aufforderungsgemäss mit ent­spre­chen­den Beweismitteln. Dabei ist festzu­stellen, dass sich die Beschwerdeführerin in sämtlichen ihrer Eingaben (Bst. A hiervor) grundsätz­lich auf den gleichen Sach­ver­halt berief. Bei dieser Sach­lage ist festzu­halten, dass im vorliegenden Ver­fahren dem An­spruch der Beschwerdeführerin auf Gewährung des recht­lichen Ge­hörs Rechnung getragen und der entscheidwesentliche Sach­verhalt in genügender Weise und umfassend abgeklärt wurde.</w:t>
      </w:r>
    </w:p>
    <w:p>
      <w:r>
        <w:rPr>
          <w:b/>
        </w:rPr>
        <w:t>E. 4.3</w:t>
      </w:r>
    </w:p>
    <w:p>
      <w:r>
        <w:t>Die Vorinstanz hat sodann in der angefochtenen Verfügung be­grün­det, weshalb auf eine persönliche Anhörung verzichtet wurde. Da­mit ist sie ihrer diesbezüglichen Begründungspflicht nach­gekommen (vgl. II/Ziff. 1 der angefochtenen Verfügung).</w:t>
      </w:r>
    </w:p>
    <w:p>
      <w:r>
        <w:rPr>
          <w:b/>
        </w:rPr>
        <w:t>E. 5.1</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6</w:t>
      </w:r>
    </w:p>
    <w:p>
      <w:r>
        <w:t>Mit der Vorinstanz ist festzuhalten, dass die Vorbringen der Beschwerdeführerin weder einreise- noch asylrelevant sind. Die von ihr geschilderte Verfolgungssituation durch unbekannte Dritte fallen nicht unter Art. 3 AsylG, zumal sie sich wegen diesen Benachteiligungen an die sri-lankischen Behörden wenden und diese um Schutz hätte ersuchen können, was sie indes gemäss eigenen Aussagen aus Angst unterlassen habe. Den Akten sind auch keinerlei Anhaltspunkte zu entnehmen, die darauf schliessen liessen, die Familie der Beschwerdeführerin wäre aufgrund bei ihr liegender Umstände irgendwelchen nachteiligen Massnahmen staatlicher Organe ausgesetzt gewesen oder es hätten Begebenheiten vorgelegen, welche die Beschwerdeführerin dazu veranlasst hätten, von einem Schutzersuchen bei den Behörden vor den erwähnten Übergriffen Dritter Abstand zu nehmen (vgl. u.a. Ziff. 2 der Beschwerde). Den im Zusammenhang mit ihrem Sachvortrag eingereichten Be­weis­mitteln ist keine wei­te­re Bedeutung beizumessen, da in casu diesem die asylrechtlicher Relevanz abzusprechen ist. Letztlich lassen sich die Ausführungen der Beschwerdeführerin auf die allgemeine in Sri Lanka herrschende Situation und die von ihr als widrig empfundenen Lebensumstände reduzieren, was indes keine individuelle Betroffenheit im Sinne des Asylgesetzes darzutun vermag. Zur Vermeidung von Wiederholungen kann ferner auch auf die nicht zu beanstandenden Ausführungen der Vorinstanz in der angefochtenen Verfügung verwiesen werden. Die Vorbringen in der Rechtsmitteleingabe sind nicht geeignet, eine Änderung der angefochtenen Verfügung zu bewirken. Der Sachverhalt bleibt unverändert. Eine Auseinandersetzung mit der vorinstanzlichen Argumetation unterbleibt. Es ist festzustellen, dass nähere Hinweise oder Aufschlüsse für eine (asyl-) relevante Gefährdungssituation der Beschwerdeführerin fehlen. Angesichts dieser eindeutigen Sachlage erübrigen sich weitere Erörterungen.</w:t>
      </w:r>
    </w:p>
    <w:p>
      <w:r>
        <w:rPr>
          <w:b/>
        </w:rPr>
        <w:t>E. 7</w:t>
      </w:r>
    </w:p>
    <w:p>
      <w:r>
        <w:t>Zusammenfassend ist festzustellen, dass die Beschwerdeführerin kei­ne Ver­folgung im Sinne von Art. 3 AsylG darzutun vermochte.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