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D-1313/2020 vom 19. März 2020</w:t>
      </w:r>
    </w:p>
    <w:p>
      <w:r>
        <w:t>Bundesverwaltungsgericht, 2020-03-19, DE</w:t>
      </w:r>
    </w:p>
    <w:p>
      <w:r>
        <w:rPr>
          <w:b/>
        </w:rPr>
        <w:t xml:space="preserve">Quelle: </w:t>
      </w:r>
      <w:r>
        <w:t>https://mcp.opencaselaw.ch/entscheid/bvger_D-1313_2020</w:t>
      </w:r>
    </w:p>
    <w:p>
      <w:r>
        <w:t>FR: TAF D-1313/2020 du 19 mars 2020</w:t>
      </w:r>
    </w:p>
    <w:p>
      <w:r>
        <w:t>IT: TAF D-1313/2020 del 19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Das SEM begründete die Ablehnung des Asylgesuchs in der angefochtenen Verfügung damit, dass weder die vom Beschwerdeführer vorgebrachte politische Aktivität noch die daraus abgeleitete Verfolgung geglaubt werden könnten. Es warf dem Beschwerdeführer vor, dass er weder habe sagen können, wofür die Abkürzung B._______ stehe, noch habe er die Ziele dieser Partei umschreiben können. Auch sei er nicht in der Lage gewesen, seine angeblich langjährige Tätigkeit für diese Partei und den Grund der Verfolgung durch die Gegner überzeugend darzulegen. Er habe beispielsweise gesagt, er sei mit den Anhängern der B._______ spazieren gegangen und sei dafür bezahlt worden. Überdies wäre zu erwarten gewesen, dass er zumindest kongruente Angaben zur Dauer seiner angeblichen B._______-Mitgliedschaft hätte machen oder die divergierenden Aussagen dazu nachvollziehbar hätte erklären können. Dies sei nicht der Fall gewesen. Es sei offensichtlich, dass er kein exponierter Oppositioneller sei, der vom Regime als Gefahr wahrgenommen würde. Auch zur angeblichen Verfolgung habe er nur dürftige und oberflächliche Angaben liefern können, obwohl ihm wiederholt die Möglichkeit geboten worden sei, seine Probleme im Detail zu schildern. So sei bereits aus der freien Erzählung seiner Asylgründe ersichtlich, dass er nicht viel zur Verfolgung durch die Gegenpartei sagen könne. Er habe sich damit begnügt, allgemeine Aussagen zu Protokoll zu geben: Es würden in Bangladesch zwei Parteien existieren. Wenn eine Partei an die Macht komme, dann würden die Anhänger der Gegenpartei leiden. Als die Awami-League an die Macht gekommen sei, hätten deren Anhänger begonnen, seine Leute zu belästigen. Sein Bruder habe ihm zur Ausreise geraten und seine Reise organisiert. Er sei über die Türkei und Deutschland gereist. Trotz wiederholter und spezifischer Fragen seitens der befragenden Person seien seinerseits keine substanziierten und detaillierten Angaben zu den geltend gemachten Problemen gefolgt. Schliesslich hielt das SEM fest, dass seitens staatlicher Behörden offensichtlich kein gezielt gegen den Beschwerdeführer gerichtetes Verfolgungsinteresse bestehe, was sich auch anhand der Tatsache zeige, dass seine Familie weiterhin in der Herkunftsgegend lebe und nicht von den Behörden behelligt werde. Seine subjektive Befürchtung, er könnte getötet werden, halte einer objektiven Betrachtungsweise nicht stand.</w:t>
      </w:r>
    </w:p>
    <w:p>
      <w:r>
        <w:rPr>
          <w:b/>
        </w:rPr>
        <w:t>E. 5.2</w:t>
      </w:r>
    </w:p>
    <w:p>
      <w:r>
        <w:t>Dem hält der Beschwerdeführer in der Beschwerde im Wesentlichen entgegen, er habe Fragen an der Anhörung zum Teil nicht verstanden oder (aufgrund fehlender Schulbildung) nicht ausführlich beantwortet. Gleichzeitig macht er ergänzende Ausführungen im Zusammenhang mit seinen Asylgründen (bspw. zur Bedeutung der Abkürzung B._______ und zu den Zielen der B._______). Ferner bringt er vor, die Anhänger der Awami-League könnten ihn problemlos töten, gerade weil er keine politisch exponierte Persönlichkeit sei. Die Anhänger der Awami-League hätten die Regierungsmacht und erlaubten sich, alles zu tun, und würden nicht zur Rechenschaft gezogen. Er habe ausserdem gehört, dass über die Menschenrechtsverletzungen der herrschenden Regierung und der Anhänger der Awami-League viele internationale Berichte publiziert worden seien. Er habe Angst vor den Anhängern der Awami-League und habe in seiner Heimat niemanden, der ihm Schutz und Beistand leisten könne.</w:t>
      </w:r>
    </w:p>
    <w:p>
      <w:r>
        <w:rPr>
          <w:b/>
        </w:rPr>
        <w:t>E. 6.1</w:t>
      </w:r>
    </w:p>
    <w:p>
      <w:r>
        <w:t>Das Gericht kommt - wie bereits das SEM - zum Schluss, dass die Asylvorbringen den Anforderungen an die Glaubhaftigkeit gemäss Art. 7 AsylG nicht standzuhalten vermögen. Zur Vermeidung von unnötigen Wiederholungen kann vollumfänglich auf die entsprechenden Erwägungen des SEM in der angefochtenen Verfügung verwiesen werden. Diesen wurde in der Beschwerde nichts Stichhaltiges entgegnet.</w:t>
      </w:r>
    </w:p>
    <w:p>
      <w:r>
        <w:rPr>
          <w:b/>
        </w:rPr>
        <w:t>E. 6.2</w:t>
      </w:r>
    </w:p>
    <w:p>
      <w:r>
        <w:t>Der Einwand in der Beschwerde, wonach der Beschwerdeführer die Fragen zum Teil nicht verstanden habe, ist vor allem in dieser generellen Form als Schutzbehauptung zu qualifizieren. So zeigt der Beschwerdeführer nicht konkret auf, welche Fragen er nicht respektive inwiefern er welche Fragen falsch verstanden haben will. Sofern der Beschwerdeführer geltend macht, er habe aufgrund fehlender Schulbildung die Fragen nicht ausführlich beantworten können, ist zunächst festzuhalten, dass an diesem Vorbringen erhebliche Zweifel bestehen, zumal sich seine Angaben zur Dauer des Schulbesuchs widersprechen. So gab er in der BzP an, er sei nur (...) Jahr zur Schule gegangen (vgl. Akten SEM A5 Ziff. 1.17.04). Dagegen erklärte er in der Anhörung zunächst, er habe die Schule nicht so viele Jahre besucht. Auf Nachfrage gab er an, es seien ungefähr (...) Jahre gewesen (vgl. A17 F18 f.). Erst in der Beschwerde gab er an, er habe keine Schule besucht. Angesichts dieser widersprüchlichen Angaben ist davon auszugehen, dass der Beschwerdeführer über eine solide Schulbildung verfügt. Im Übrigen ist ohnehin unklar, inwiefern eine fehlende Schulbildung Einfluss auf die Ausführlichkeit von Aussagen zu persönlichen Erlebnissen haben soll. In diesem Zusammenhang ist beispielsweise darauf hinzuweisen, dass der Beschwerdeführer nur oberflächliche Angaben zu den Übergriffen auf ihn machen konnte, obwohl er aufgefordert wurde, so präzise wie möglich zu erzählen, wie es dazu gekommen sei, dass er geschlagen wurde (vgl. A17 F42). Das Vorbringen an der Anhörung, er habe vieles vergessen, vermag angesichts der Relevanz dieser Übergriffe für seine Ausreise aus dem Heimatland nicht zu überzeugen. Nach dem Gesagten sind seine ergänzenden Ausführungen in der Beschwerde als grundlos nachgeschoben zu qualifizieren und vermögen an der Unglaubhaftigkeit seines Sachverhaltsvortrags nichts zu ändern.</w:t>
      </w:r>
    </w:p>
    <w:p>
      <w:r>
        <w:rPr>
          <w:b/>
        </w:rPr>
        <w:t>E. 6.3</w:t>
      </w:r>
    </w:p>
    <w:p>
      <w:r>
        <w:t>Schliesslich ist festzuhalten, dass der Beschwerdeführer an der Anhörung an zwei Stellen zu Protokoll gab, er sei der B._______ im Jahr 2014 beigetreten, wobei an einer Stelle konkret nachgefragt wurde, ob er schon vorher für die B._______ engagiert gewesen sei (vgl. A17 F25 und 34). Auf die Feststellung seitens der befragenden Person, dass er an der BzP angegeben habe, er sei seit 2005 Mitglied, sagte er sodann nur, 2005 sei richtig, ohne Erklärung, weshalb er zuvor zwei Mal das Jahr 2014 angegeben hatte (vgl. A17 F35). Auf diesen Widerspruch geht er in der Beschwerdeschrift nicht ein.</w:t>
      </w:r>
    </w:p>
    <w:p>
      <w:r>
        <w:rPr>
          <w:b/>
        </w:rPr>
        <w:t>E. 6.4</w:t>
      </w:r>
    </w:p>
    <w:p>
      <w:r>
        <w:t>Nach dem Gesagten hat die Vorinstanz das Asylgesuch des Beschwerdeführers zu Recht und mit zutreffender Begründung abgelehnt. Angesichts der festgestellten Unglaubhaftigkeit seiner Asylvorbringen vermögen auch die weiteren Beschwerdevorbringen nicht zu einer Änderung der vorinstanzlichen Einschätzung zu führen, weshalb nicht weiter darauf einzugehen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Nach aktueller Rechtsprechung des Bundesverwaltungsgerichts herrscht in Bangladesch keine Situation allgemeiner Gewalt (vgl. Referenzurteil des BVGer D-3778/2013 vom 16. Juli 2015 E. 8.4 sowie zuletzt Urteile des BVGer D-3648/2019 vom 29. November 2019 E. 8.4.1 und D-4095/2017 vom 30. April 2019 E. 10.4.1). Allein aufgrund der allgemeinen Situation in Bangladesch ist demnach nicht von einer konkreten Gefährdung auszugehen.</w:t>
      </w:r>
    </w:p>
    <w:p>
      <w:r>
        <w:rPr>
          <w:b/>
        </w:rPr>
        <w:t>E. 8.3.3</w:t>
      </w:r>
    </w:p>
    <w:p>
      <w:r>
        <w:t>Auch sprechen keine individuellen Gründe gegen einen Wegweisungsvollzug. Der Beschwerdeführer ist ein knapp (...)-jähriger gesunder Mann (vgl. A17 F68). Angesichts seiner widersprüchlichen Angaben zur Anzahl absolvierter Schuljahre (vgl. E. 6.2 vorstehend), ist sodann mit dem SEM davon auszugehen, dass er über einen Schulabschluss beziehungsweise über eine solide Schulbildung verfügt. Des Weiteren hat er gemäss seinen eigenen Angaben Arbeitserfahrung in der (...) (vgl. A5 Ziff. 1.17.05). Ferner hat er in seinem Heimatstaat ein tragfähiges familiäres Beziehungsnetz. So leben zumindest seine drei Schwestern mit ihren Familien in Nachbardörfern seines Herkunftsdorfs (vgl. A17 F67). Im Übrigen wird er auf die finanzielle Unterstützung seines im C._______ lebenden Bruders zählen können. Trotz mehrjähriger Landesabwesenheit erscheinen so Reintegration und Wiederaufbau einer wirtschaftlichen Existenz möglich.</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mit der Beschwerde gestellte Gesuch um Gewährung der unentgeltlichen Prozessführung ist abzuweisen, da die Begehren - wie sich aus den vorstehenden Erwägungen ergibt - als aussichtslos zu bezeichnen waren, weshalb die kumulativen Voraussetzungen von Art. 65 Abs. 1 VwVG nicht erfüllt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