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D-130/2008 vom 3. März 2010</w:t>
      </w:r>
    </w:p>
    <w:p>
      <w:r>
        <w:t>Bundesverwaltungsgericht, 2010-03-03, DE</w:t>
      </w:r>
    </w:p>
    <w:p>
      <w:r>
        <w:rPr>
          <w:b/>
        </w:rPr>
        <w:t xml:space="preserve">Quelle: </w:t>
      </w:r>
      <w:r>
        <w:t>https://mcp.opencaselaw.ch/entscheid/bvger_D-130_2008</w:t>
      </w:r>
    </w:p>
    <w:p>
      <w:r>
        <w:t>FR: TAF D-130/2008 du 3 mars 2010</w:t>
      </w:r>
    </w:p>
    <w:p>
      <w:r>
        <w:t>IT: TAF D-130/2008 del 3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Vorab ist auf den Vorwurf des Beschwerdeführers einzugehen, die Vorinstanz habe die Anwesenheit seines als Flüchtling anerkannten (...) in der Schweiz nicht erwähnt und demzufolge den Sachverhalt unvollständig festgestellt.</w:t>
      </w:r>
    </w:p>
    <w:p>
      <w:r>
        <w:rPr>
          <w:b/>
        </w:rPr>
        <w:t>E. 4.1</w:t>
      </w:r>
    </w:p>
    <w:p>
      <w:r>
        <w:t>Der Grundsatz des rechtlichen Gehörs (Art. 29 Abs. 2 der Bundesverfassung der Schweizerischen Eidgenossenschaft vom 18. April 1999 [BV, SR 101], Art. 29 VwVG, Art. 32 Abs. 1 VwVG) verlangt unter anderem auch, dass die verfügende Behörde die Vorbringen des Betroffenen tatsächlich hört, sorgfältig und ernsthaft prüft und in der Entscheidfindung berücksichtigt, was sich entsprechend in der Entscheidbegründung niederschlagen muss (vgl. Art. 35 Abs. 1 VwVG; Entscheidungen und Mitteilungen der Schweizerischen Asylrekurskommission [EMARK] 2004 Nr. 38 E. 6.3 S. 264).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 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 und um solche geht es bei der Frage der Gewährung des Asyls - eine sorgfältige Begründung verlangt wird (vgl. EMARK 2006 Nr. 24 E. 5.1 S. 256). Im Asylverfahren - wie im übrigen Verwaltungsverfahren - gilt im Weiteren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und die rechtlich relevanten Umstände abklären und darüber ordnungsgemäss Beweis führen. Gemäss Art. 8 AsylG hat die asylsuchende Person demgegenüber die Pflicht und unter dem Blickwinkel des rechtlichen Gehörs im Sinne von Art. 29 VwVG und Art. 29 Abs. 2 BV das Recht, an der Feststellung des Sachverhalts mitzuwirken (vgl. BVGE 2008/24 E. 7.2, BVGE 2007/21 E. 11.1.3 mit Hinweis auf EMARK 2003 Nr. 13; vgl. auch EMARK 2004 Nr. 16 E. 7a und 2004 Nr. 30 E. 5.3.1).</w:t>
      </w:r>
    </w:p>
    <w:p>
      <w:r>
        <w:rPr>
          <w:b/>
        </w:rPr>
        <w:t>E. 4.2</w:t>
      </w:r>
    </w:p>
    <w:p>
      <w:r>
        <w:t>Der Beschwerdeführer gab bereits anlässlich der Kurzbefragung an, ein etwa 13 oder 14 Jahre älterer (...) lebe in der Schweiz, allerdings konnte der Beschwerdeführer weder dessen genaues Geburtsdatum noch den Aufenthaltsort nennen (vgl. A1/10 S. 3). Im Rahmen der Anhörung führte der Beschwerdeführer aus, von seinen (...) sei der in der Schweiz lebende (...) politisch aktiv, er wisse jedoch nicht, was dieser gemacht habe. Er (der Beschwerdeführer) sei noch sehr klein gewesen, als sein (...) das Land verlassen habe. Die Familie sei aufgrund der politischen Aktivitäten des (...) nicht festgenommen worden, er könne sagen, sie hätten sie nicht gestört, aber sie hätten sich nicht sicher gefühlt (vgl. A6/14 S. 3). Angesichts dieser Aussagen ist nicht ersichtlich, inwiefern sich aus dem Asylverfahren des (...) und dessen Aktivitäten rechtserhebliche Tatsachen in Bezug auf den Beschwerdeführer im Sinne einer Reflexverfolgung hätten ergeben können. Entsprechend wird auch in der Beschwerdeschrift nicht dargetan, inwiefern sich Erkenntnisse aus dem Asylverfahren des (...) oder allenfalls dessen Verhalten in der Schweiz auf das vorliegende Verfahren auswirken könnten. Überdies liess der Beschwerdeführer dem Bundesverwaltungsgericht auch die in der Beschwerde angekündigten Unterlagen (C-Ausweis und Kopie des positiven Asylentscheides) nicht zukommen. Damit kann keine Rede davon sein, die Vorinstanz habe den Sachverhalt nicht rechtsgenügend erstellt. Ebenso wenig liegt eine Verletzung der Begründungspflicht vor, weshalb die diesbezüglichen Rügen unbegründet sind.</w:t>
      </w:r>
    </w:p>
    <w:p>
      <w:r>
        <w:rPr>
          <w:b/>
        </w:rPr>
        <w:t>E. 5.1</w:t>
      </w:r>
    </w:p>
    <w:p>
      <w:r>
        <w:t>Das Bundesamt gelangt gestützt auf folgende Überlegungen zur Annahme der Unglaubhaftigkeit der Angaben des Beschwerdeführers: In der Summarbefragung habe er ausgeführt, das elterliche (...)geschäft existiere nicht mehr. Er sei im Herbst 2005 auf dem Weg ins (...)büro seines Vaters gewesen, als er die Leute des Geheimdienstes vor dem Haus seines Freundes gesehen habe. Demgegenüber habe er bei der kantonalen Anhörung ausgeführt, er habe sich damals auf dem Weg ins (...)geschäft befunden. Schon dies zeige, dass es ihm nicht gelungen sei, frei erfundene Geschehnisse korrekt mit den zeitlichen Rahmenbedingungen in Einklang zu bringen. Im Übrigen falle auf, dass der Beschwerdeführer die angebliche vorübergehende Festnahme seines Vaters, ein wohl einschneidendes Erlebnis, bei der ersten Befragung mit keinem Wort erwähnt habe. Erst bei der kantonalen Anhörung habe er die Festnahme angegeben. Überdies sei er jegliche Erklärung dazu, warum er von den Ereignissen (Hausdurchsuchung, Festnahme des Vaters) erst erfahren habe, als er in den folgenden Tagen einen Cousin zu Hause vorbei geschickt habe, um die Lage zu erkunden, und warum ihn nicht sein Bruder benachrichtigt habe, schuldig geblieben. Als schwer nachvollziehbar erachtet die Vorinstanz, dass sich der Beschwerdeführer erstmals von der Schweiz aus nach dem Schicksal seines verhafteten Freundes erkundigt habe und trotz der Freundschaft und der angeblich mehrere Jahre dauernden Zusammenarbeit nicht habe sagen können, ob sein Freund Mitglied oder nur Sympathisant der PDKI gewesen sei. Völlig unglaubhaft wirke auch, dass der Beschwerdeführer nichts über den Inhalt der Flugblätter habe sagen und auch nicht annähernd das Parteiemblem habe beschreiben können. Zudem sei er bei den Zeitangaben auffallend vage geblieben, insbesondere was das Datum desjenigen Tages betreffe, an welchem er am Morgen ahnungslos das Haus verlassen habe, ohne jemals dorthin zurückzukehren. In Bezug auf allfällige subjektive Nachfluchtgründe hielt das Bundesamt schliesslich fest, durch die Teilnahme an einer Kundgebung vor der iranischen Botschaft in F._______ und das Verlesen einer Unterstützungsbotschaft des Jugendkomitees der Partei erreiche der Beschwerdeführer auf keinen Fall ein politisches Profil, das ihn für die iranischen Behörden als ernstzunehmende Gefahr für das Regime erscheinen lasse und das zu asylrelevanten Massnahmen im Falle einer Rückkehr führen würde.</w:t>
      </w:r>
    </w:p>
    <w:p>
      <w:r>
        <w:rPr>
          <w:b/>
        </w:rPr>
        <w:t>E. 5.2</w:t>
      </w:r>
    </w:p>
    <w:p>
      <w:r>
        <w:t>Der Beschwerdeführer wendet dagegen zunächst ein, dass er einmal gesagt habe, er sei am entscheidenden Morgen auf dem Weg zum Büro seines Vaters gewesen, währenddem er bei der kantonalen Anhörung vom (...)geschäft gesprochen habe, sei darauf zurückzuführen, dass sich das (...)geschäft seines Vaters dort befinde, wo vorher das (...)geschäft gewesen sei. Es handle sich hier nicht um einen Widerspruch. Im Weiteren liege der Grund dafür, dass er bei der ersten Befragung nichts über die Festnahme seines Vaters sowie die Beschlagnahmungen erwähnt habe, darin, dass er angehalten worden sei, nur das Wesentliche und die persönlichen Erlebnisse zu erzählen. Wenn ihm die Vorinstanz sodann anlaste, den Inhalt der Flugblätter nicht zu kennen und nicht gewusst zu haben, ob sein Freund Mitglied in der Partei gewesen sei, verkenne sie die tatsächlich unter Kurden herrschenden Umstände. Die Leute sprächen nicht genau über ihre politischen Aktivitäten, insbesondere sei die Frage einer offiziellen Parteiangehörigkeit völlig nebensächlich. Überdies habe er die Flugblätter möglichst schnell verteilen müssen und keine Zeit gehabt, deren genauen Inhalt zur Kenntnis zu nehmen. Auch der Vorwurf, er habe vage Zeitangaben gemacht, treffe nicht zu. Zwar habe er kein Datum für den Tag des Vorfalles genannt, er habe aber gesagt, was danach alles passiert sei und wo er sich wie lange aufgehalten habe, so dass das Datum ausgerechnet werden könne. Bezüglich subjektiver Nachfluchtgründe wendet der Beschwerdeführer ein, jede Botschaft verfüge über Kameras, auf denen er anlässlich der Kundgebung vom 25. August 2007 wahrscheinlich zu sehen sei. Entgegen der Auffassung des BFM sei von einem politischen Profil auszugehen, auch wenn er keine hohe Parteifunktion innehabe. Die iranischen Behörden wollten die regimekritischen kurdischen Aktivitäten mit allen Mitteln stoppen und nähmen nicht nur hohe Parteifunktionäre fest, um dieses Ziel zu erreichen, sondern auch ganz einfache, aber überzeugte Mitstreiter.</w:t>
      </w:r>
    </w:p>
    <w:p>
      <w:r>
        <w:rPr>
          <w:b/>
        </w:rPr>
        <w:t>E. 6.1</w:t>
      </w:r>
    </w:p>
    <w:p>
      <w:r>
        <w:t>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(vgl. Art. 7 AsylG, EMARK 2005 Nr. 21 E. 6.1. S. 190 f.).</w:t>
      </w:r>
    </w:p>
    <w:p>
      <w:r>
        <w:rPr>
          <w:b/>
        </w:rPr>
        <w:t>E. 6.2</w:t>
      </w:r>
    </w:p>
    <w:p>
      <w:r>
        <w:t>Gemessen an diesen Anforderungen ist vorliegend die Feststellung der Vorinstanz, die Vorbringen des Beschwerdeführers hielten den Anforderungen an die Glaubhaftigkeit gemäss Art. 7 AsylG nicht stand, nicht zu beanstanden. Zur Vermeidung von Wiederholungen kann daher vorab auf die zutreffenden Ausführungen des BFM in der angefochtenen Verfügung verwiesen werden. Der Erklärungsversuch des Beschwerdeführers in der Beschwerdeschrift zu seinen Angaben, ob er am fraglichen Tag auf dem Weg zum (...)geschäft oder zum (...)geschäft gewesen sei, findet in den Akten keine Stütze. Gegenteils begründet er damit neue Zweifel nicht nur an der Glaubhaftigkeit seiner Aussagen, sondern auch an seiner persönlichen Glaubwürdigkeit. Anlässlich der kantonalen Anhörung wurde er nämlich ausdrücklich nach der Adresse des Geschäftes seines Vaters gefragt. Er gab darauf an, es sei an der G._______ Strasse. Auf Nachfrage, ob dies das (...)geschäft oder das (...)geschäft oder beide betreffe, antwortete der Beschwerdeführer, dort sei das (...)geschäft. Das (...)büro liege am Platz namens H._______ (vgl. A6/14 S. 4 Fragen 20 bis 22). Diese Aussagen wurden dem Beschwerdeführer rückübersetzt und er hat sie unterschriftlich genehmigt (vgl. A6/14 S. 14). Ein Übersetzungsfehler oder Missverständnis erscheint schon deshalb wenig wahrscheinlich. Vielmehr lässt sich diese Darstellung mit der neuen Behauptung in der Beschwerdeschrift, das (...)geschäft sei dort, wo früher das (...)geschäft gewesen sei, nicht vereinbaren und der Schluss liegt nahe, der Beschwerdeführer versuche seine Aussagen an die vorgehaltenen Widersprüche anzupassen. Mit dem Bundesamt ist im Weiteren davon auszugehen, dass das (angebliche) Mitnehmen und Festhalten des Vaters des Beschwerdeführers ein wesentliches Ereignis darstellt, welches vom Beschwerdeführer bereits bei der Erstbefragung erwähnt worden wäre, wenn es tatsächlich stattgefunden hätte. Hingegen erscheint - wie schon von der Vorinstanz angenommen - nicht aussergewöhnlich, dass der Beschwerdeführer die (behauptete) Beschlagnahmung der ID-Karte sowie von Fotos und Kassetten erst bei der kantonalen Anhörung zu Protokoll gab. Nicht zu überzeugen vermag sodann, wenn in der Beschwerdeschrift einerseits ausgeführt wird, die Leute in der Heimatregion des Beschwerdeführers sprächen nie so genau von ihren politischen Aktivitäten, anderseits sei es wichtig - auch aus sozialer und gesellschaftlicher Sicht -, die Interessen von Kurdistan zu unterstützen. Gerade angesichts dieses hohen Stellenwertes politischer Aktivitäten beziehungsweise der dabei in Kauf genommenen Gefahren erscheint die Unkenntnis des Beschwerdeführers über die Mitgliedschaft seines Freundes bei der Partei sowie des Inhalts der von ihm verteilten Flugblätter nicht nachvollziehbar. Dabei geht die Vorinstanz - entgegen der Darstellung in der Beschwerdeschrift - nicht davon aus, er müsste die Dokumente in der Nacht und vor deren Verteilung gelesen haben. Nach dem Gesagten erübrigt es sich, auf weitere Einwendungen in der Beschwerde einzugehen, weil sie nicht geeignet sind, die vorinstanzlichen Erwägungen zu entkräften. Das Gericht erachtet die geltend gemachten Asylgründe im Heimatland als unglaubhaft.</w:t>
      </w:r>
    </w:p>
    <w:p>
      <w:r>
        <w:rPr>
          <w:b/>
        </w:rPr>
        <w:t>E. 7</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2009/28 E. 7.1; EMARK 1995 Nr. 7 E. 7b und 8 S. 67 ff.; EMARK 2000 Nr. 16 E. 5a S. 141 f.).</w:t>
      </w:r>
    </w:p>
    <w:p>
      <w:r>
        <w:rPr>
          <w:b/>
        </w:rPr>
        <w:t>E. 7.1</w:t>
      </w:r>
    </w:p>
    <w:p>
      <w:r>
        <w:t>Mit Bezug auf den Iran ist in genereller Hinsicht festzuhalten, dass durch die Neufassung des iranischen Strafrechts vom 9. Juli 1996 die politische Betätigung für staatsfeindliche Organisationen im Ausland unter Strafe gestellt wurde (Art. 498-500). Die iranischen Behörden überwachen die politischen Aktivitäten ihrer Staatsangehörigen im Ausland, wobei davon auszugehen ist, dass sie sich auf die Erfassung von Personen konzentrieren, welche über die massentypischen und niedrigprofilierten Erscheinungsformen exilpolitischer Proteste hinaus Funktionen wahrnehmen und/oder Aktivitäten entwickeln, die sie aus der Masse der mit dem Regime Unzufriedenen herausheben und als ernsthafte und potentiell gefährliche Regimegegner erscheinen lassen. Nach Erkenntnis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iranische Exilbehörden. Dass die iranischen Sicherheitsbehörden zwischen tatsächlich politisch engagierten Regimekritikern und Exilaktivisten, die mit ihren Aktionen in erster Linie die Chancen auf ein Aufenthaltsrecht zu erhöhen versuchen, zu unterscheiden vermögen, darf entgegen den anderslautenden Ausführungen in der Beschwerde (vgl. S. 6 f. derselben) vorausgesetzt werden (vgl. BVGE 2009/28 E. 7.4.3).</w:t>
      </w:r>
    </w:p>
    <w:p>
      <w:r>
        <w:rPr>
          <w:b/>
        </w:rPr>
        <w:t>E. 7.2</w:t>
      </w:r>
    </w:p>
    <w:p>
      <w:r>
        <w:t>Aus dem eingereichten Beweismaterial ergibt sich, dass der Beschwerdeführer - wie schon von der Vorinstanz erwähnt - am 25. August 2007 an einer Kundgebung vor der iranischen Botschaft in F._______ teilgenommen und dabei eine Unterstützungsbotschaft des Jugendkomitees der PDKI vorgetragen hat. Weiter nahm der Beschwerdeführer am 19. September 2008 an einer Demonstration ebenfalls vor der iranischen Botschaft teil, von welcher Aufnahmen auf verschiedenen Websites erschienen. Überdies ist der Beschwerdeführer mittlerweile Mitglied der PDKI und des Jugendkomitees in der Schweiz, seit Januar 2009 amtet er als Verantwortlicher für den Kanton D._______ (ob [...] oder [...] bleibt unklar). In einer eingereichten "Bewilligung für Veranstaltungen" der Stadt F._______ wird der Beschwerdeführer zwar unter der Rubrik "Veranstaltende Organisation" aufgeführt, die Bewilligung war jedoch an eine andere Person adressiert, welche auch als "Organisierende/Verantwortliche" aufgeführt ist. Der Beschwerdeführer macht im Weiteren geltend, auch an der Demonstration vom 13. Juli 2009 vor der (...) Botschaft in F._______ teilgenommen zu haben.</w:t>
      </w:r>
    </w:p>
    <w:p>
      <w:r>
        <w:rPr>
          <w:b/>
        </w:rPr>
        <w:t>E. 7.3</w:t>
      </w:r>
    </w:p>
    <w:p>
      <w:r>
        <w:t>Aufgrund einer Gesamtwürdigung der vorerwähnten exilpolitischen Aktivitäten ist davon auszugehen, dass keine subjektiven Nachfluchtgründe bestehen, die bei einer Rückkehr des Beschwerdeführers in den Iran zu einer für die Flüchtlingseigenschaft relevanten Verfolgung führen würden. Dieser Einschätzung liegt die Erkenntnis zugrunde, dass nicht primär das Hervortreten im Sinne einer optischen Erkennbarkeit und Individualisierbarkeit, sondern eine derartige Exponierung in der Öffentlichkeit massgebend ist, welche aufgrund der Persönlichkeit des Asylsuchenden, der äusseren Form seines Auftritts und nicht zuletzt aufgrund des Inhaltes der in der Öffentlichkeit abgegebenen Erklärungen den Eindruck erweckt, der Asylsuchende werde zu einer Gefahr für den Bestand des Mullah-Regimes. Ein dermassen erhöhter Exponierungsgrad kann dem Beschwerdeführer nicht beigemessen werden. Die vom Beschwerdeführer in der PDKI bekleidete Funktion als Kantonsverantwortlicher ist nicht als Führungsposition zu werten. Des Weiteren ist nicht ersichtlich, inwiefern dem Beschwerdeführer bei den (wenigen) Kundgebungen, an welchen er teilnahm, eine zentrale Rolle zugekommen wäre. Das von ihm dargelegte exilpolitische Engagement geht nicht signifikant über dasjenige hinaus, das zahlreiche nicht im Iran lebende Iraner (ob kurdischer oder persischer Ethnie) an den Tag legen. Auch die Tatsache, dass die Teilnahme des Beschwerdeführers an den von ihm angeführten Kundgebungen fotografisch dokumentiert und im Internet publik gemacht wurde sowie der Umstand, dass der Beschwerdeführer während der Teilnahme an den Demonstrationen vor der iranischen Botschaft in F._______ allenfalls von dortigen Kameras aufgenommen wurde, kann nicht zur Annahme einer relevanten Gefährdung des Beschwerdeführers führen.</w:t>
      </w:r>
    </w:p>
    <w:p>
      <w:r>
        <w:rPr>
          <w:b/>
        </w:rPr>
        <w:t>E. 7.4</w:t>
      </w:r>
    </w:p>
    <w:p>
      <w:r>
        <w:t>Zusammenfassend ist festzuhalten, dass keine Hinweise aktenkundig sind, wonach der Beschwerdeführer in der Schweiz in einer hohen und in der Öffentlichkeit exponierten Kaderstelle einer Exilorganisation tätig wäre. Insofern in der Beschwerde Gewicht auf die mögliche Identifizierbarkeit des Beschwerdeführers durch die iranische Botschaft gelegt wird, greift dies insoweit zu kurz, da dies letztlich nicht entscheidendes Kriterium für die Frage einer ihm drohenden, flüchtlingsrechtlich relevanten Verfolgung ist. Im Weiteren fehlt es an Informationen oder Belegen, wonach im Iran gegen ihn aufgrund seiner exilpolitischen Aktivitäten ein Strafverfahren oder andere behördliche Massnahmen eingeleitet worden wären. In letzter Konsequenz ist hierbei darauf hinzuweisen, dass es nicht Sache der schweizerischen Asylbehörden sein kann, jede auch nur ansatzweise mögliche Gefährdungssituation im Heimatland einer asylsuchenden Person abzuklären. Hier findet der in Art. 12 VwVG verankerte Untersuchungsgrundsatz vernünftigerweise seine Schranken und ist der Beschwerdeführer auf seine in Art. 8 AsylG verankerte Mitwirkungspflicht zu verweisen. Der Vollständigkeit halber ist schliesslich anzufügen, dass der Beschwerdeführer aus den jüngsten politischen Turbulenzen im Iran keine objektiven Nachfluchtgründe herzuleiten vermag. So hat die umstrittene Wiederwahl des Präsidenten Ahmadinejad vom Juni 2009 in einer derzeitigen Lageeinschätzung nicht erkennbar zu einer stärkeren Fokussierung auf politisch aktive, iranische Exilgruppierungen geführt.</w:t>
      </w:r>
    </w:p>
    <w:p>
      <w:r>
        <w:rPr>
          <w:b/>
        </w:rPr>
        <w:t>E. 7.5</w:t>
      </w:r>
    </w:p>
    <w:p>
      <w:r>
        <w:t>Angesichts der aufgezeigten Sachlage erübrigt es sich, auf die weiteren Ausführungen in der Beschwerde und die eingereichten Beweismittel im Einzelnen einzugehen, da diese nicht geeignet sind, zu einer anderen rechtlichen Würdigung der Aktenlage zu führen. In Würdigung der gesamten Umstände ist somit festzustellen, dass der Beschwerdeführer einen flüchtlingsrechtlich bedeutsamen Sachverhalt weder nachgewiesen noch glaubhaft gemacht hat. Die Feststellung des BFM, der Beschwerdeführer erfülle die Flüchtlingseigenschaft nicht, ist dementsprechend zu bestätigen.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9.5</w:t>
      </w:r>
    </w:p>
    <w:p>
      <w:r>
        <w:t>Vorliegend ist der Vollzug als zumutbar zu erachten, weil keine Hinweise dafür bestehen, dass der Beschwerdeführer bei einer Rückkehr in den Iran einer konkreten Gefährdung ausgesetzt wäre. Das Bundesverwaltungsgericht erachtet den Wegweisungsvollzug in den Iran gestützt auf die allgemeine Lage als generell zumutbar. In individueller Hinsicht ist festzustellen, dass der Beschwerdeführer den Iran im Jahre 2005 (...)-jährig verliess, über eine gute Schulbildung und Berufserfahrung in den familieneigenen Geschäften (vgl. A1/10 S. 2 und A6/14 S. 4) sowie über ein familiäres Beziehungsnetz im Iran (vgl. A1/10 S. 3 und A6/14 S. 3) verfügt. Nach dem Gesagten erweist sich der Vollzug der Wegweisung als zumutbar.</w:t>
      </w:r>
    </w:p>
    <w:p>
      <w:r>
        <w:rPr>
          <w:b/>
        </w:rPr>
        <w:t>E. 9.6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Die prozessuale Bedürftigkeit des Beschwerdeführers ist angesichts seiner Erwerbstätigkeit seit Oktober 2009 als unbelegt zu betrachten, weshalb das Gesuch um unentgeltliche Rechtspflege im Sinne von Art. 65 Abs. 1 VwVG abzuweisen ist.</w:t>
      </w:r>
    </w:p>
    <w:p>
      <w:r>
        <w:rPr>
          <w:b/>
        </w:rPr>
        <w:t>E. 13</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