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D-1300/2017 vom 21. Juni 2018</w:t>
      </w:r>
    </w:p>
    <w:p>
      <w:r>
        <w:t>Bundesverwaltungsgericht, 2018-06-21, IT</w:t>
      </w:r>
    </w:p>
    <w:p>
      <w:r>
        <w:rPr>
          <w:b/>
        </w:rPr>
        <w:t xml:space="preserve">Quelle: </w:t>
      </w:r>
      <w:r>
        <w:t>https://mcp.opencaselaw.ch/entscheid/bvger_D-1300_2017</w:t>
      </w:r>
    </w:p>
    <w:p>
      <w:r>
        <w:t>FR: TAF D-1300/2017 du 21 juin 2018</w:t>
      </w:r>
    </w:p>
    <w:p>
      <w:r>
        <w:t>IT: TAF D-1300/2017 del 21 giugno 2018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accolto, nella misura in cui contesta l'esecuzione dell'allontanamento pronunciata nella decisione della SEM del 3 febbraio 2017.</w:t>
      </w:r>
    </w:p>
    <w:p>
      <w:r>
        <w:rPr>
          <w:b/>
        </w:rPr>
        <w:t>E. 2</w:t>
      </w:r>
    </w:p>
    <w:p>
      <w:r>
        <w:t>La decisione della SEM del 3 febbraio 2017 è annullata e gli atti di causa sono rinviati alla SEM per una completa e corretta istruzione della fattispecie e pronuncia di una nuova decisione ai sensi dei considerandi.</w:t>
      </w:r>
    </w:p>
    <w:p>
      <w:r>
        <w:rPr>
          <w:b/>
        </w:rPr>
        <w:t>E. 3</w:t>
      </w:r>
    </w:p>
    <w:p>
      <w:r>
        <w:t>Non si prelevano spese processuali.</w:t>
      </w:r>
    </w:p>
    <w:p>
      <w:r>
        <w:rPr>
          <w:b/>
        </w:rPr>
        <w:t>E. 4</w:t>
      </w:r>
    </w:p>
    <w:p>
      <w:r>
        <w:t>La SEM rifonderà al ricorrente complessivamente CHF 1'200.- a titolo di spese ripetibili.</w:t>
      </w:r>
    </w:p>
    <w:p>
      <w:r>
        <w:rPr>
          <w:b/>
        </w:rPr>
        <w:t>E. 5</w:t>
      </w:r>
    </w:p>
    <w:p>
      <w:r>
        <w:t>Questa sentenza è comunicata al ricorrente, alla SEM e all'autorità cantonale competente. Il giudice unico: La cancelliera: Daniele Cattaneo Alissa Vallenari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