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D-129/2016 vom 19. Januar 2016</w:t>
      </w:r>
    </w:p>
    <w:p>
      <w:r>
        <w:t>Bundesverwaltungsgericht, 2016-01-19, DE</w:t>
      </w:r>
    </w:p>
    <w:p>
      <w:r>
        <w:rPr>
          <w:b/>
        </w:rPr>
        <w:t xml:space="preserve">Quelle: </w:t>
      </w:r>
      <w:r>
        <w:t>https://mcp.opencaselaw.ch/entscheid/bvger_D-129_2016</w:t>
      </w:r>
    </w:p>
    <w:p>
      <w:r>
        <w:t>FR: TAF D-129/2016 du 19 janvier 2016</w:t>
      </w:r>
    </w:p>
    <w:p>
      <w:r>
        <w:t>IT: TAF D-129/2016 del 19 gennaio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22. Oktober 2015 ersuchte das SEM die italienischen Behörden um Übernahme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wird vom Beschwerdeführer zwar in seiner Rechtsmitteleingabe mit dem Hinweis bestritten, die Untätigkeit respektive die fehlende Zustimmung zur Übernahme seitens der italienischen Behörden sei als Indiz für deren Unzuständigkeit zu werten. Angesichts der diesbezüglich klaren und in Ziffer 3.1 dargelegten Regelung in der Dublin-III-VO ist dieser Einwand als nicht stichhaltig zu qualifizieren und vermag nicht zu einer anderen Einschätzung zu führen. Sodann ist in diesem Zusammenhang darauf hinzuweisen, dass Italien in einer Vielzahl von Fällen ausdrücklich seine Zuständigkeit verneint hat, wenn die entsprechenden Voraussetzungen für eine Auf- oder Wiederaufnahme nicht erfüllt waren. Demzufolge ist die Zuständigkeit Italiens gegeben.</w:t>
      </w:r>
    </w:p>
    <w:p>
      <w:r>
        <w:rPr>
          <w:b/>
        </w:rPr>
        <w:t>E. 4.1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Verfahrensrichtlinie sowie der Aufnahmerichtlinie verstossen würde.</w:t>
      </w:r>
    </w:p>
    <w:p>
      <w:r>
        <w:rPr>
          <w:b/>
        </w:rPr>
        <w:t>E. 4.4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4.5</w:t>
      </w:r>
    </w:p>
    <w:p>
      <w:r>
        <w:t>Sodann wird auch mit dem Hinweis auf die gesundheitlichen Probleme des Beschwerdeführers (dieser leide an [Nennung Krankheit] und habe eine schwere [Nennung Verletzung]), die grundsätzliche Zuständigkeit Italiens nicht widerlegt, da aus diesem Umstand und den diesbezüglich eingereichten Beweismitteln nicht zu schliessen ist, die Überstellung nach Italien setze ihn einer Gefahr für die Gesundheit aus und verletze damit Art. 3 EMRK. Unbesehen des Umstands, ob die angeführte (Nennung Krankheit) beim Beschwerdeführer seit dessen Geburt besteht oder erst durch die geltend gemachten Verletzungen im Militärdienst ausgelöst wurde - immerhin ist diesbezüglich festzuhalten, dass der Beschwerdeführer selber bei der BzP angab, seit (...) diese gesundheitlichen Probleme zu haben respektive es handle sich um eine vererbte (Nennung Krankheit) (vgl. act. A5/13 S. 9), wohingegen im eingereichten ärztlichen Bericht vom (...) ausgeführt wird, die dem Patienten bekannte (Nennung Krankheit) bestehe seit einem (Nennung Vorfall und Zeitpunkt) -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in casu nicht der Fall ist. Im Übrigen verfügt Italien über eine ausreichende medizinische Infrastruktur und es darf auch davon ausgegangen werden, dass ihm der Zugang zu einer allenfalls notwendigen medizinischen Versorgung möglich ist. Ohnehin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psychiatrischen Betreuung) gewähren (Art. 19 Abs. 2 Aufnahmerichtlinie). Die schweizerischen Behörden, die mit dem Vollzug der angefochtenen Verfügung beauftragt sind, tragen den medizinischen Umständen bei der Bestimmung der konkreten Modalitäten der Überstellung des Beschwerdeführers Rechnung. Zudem werden - wie die Vorinstanz im angefochtenen Entscheid ausführte - die italienischen Behörden vorgängig in geeigneter Weise über seine spezifischen medizinischen Umstände informiert (vgl. Art. 31 f. Dublin-III-VO).</w:t>
      </w:r>
    </w:p>
    <w:p>
      <w:r>
        <w:rPr>
          <w:b/>
        </w:rPr>
        <w:t>E. 4.6</w:t>
      </w:r>
    </w:p>
    <w:p>
      <w:r>
        <w:t>Auch aus den weiteren Vorbringen in der Beschwerde lässt sich nichts Gegenteiliges schliessen. Nach der Ankunft des Beschwerdeführers in Italien (E._______) konnte er ärztliche Hilfe beanspruchen und fortan in F._______ logieren, von wo er selbstständig und aus freiem Willen nach H._______ und I._______ reiste und sich dort während mehrerer Wochen aufhielt (vgl. act. A5/13 S. 7). Zudem brachte er anlässlich des ihm bei der BzP gewährten rechtlichen Gehörs zu möglichen Gründen, die gegen eine Rückkehr nach Italien sprechen könnten, in keiner Weise die in der Beschwerde angeführten Schwierigkeiten betreffend Unterkunft oder Zugang zu medizinischen Einrichtungen und Leistungen oder die Befürchtung, in Italien einer unmenschlichen oder erniedrigenden Behandlung ausgesetzt gewesen zu sein respektive zu werden, vor, sondern wies lediglich darauf hin, dass sein Ziel der in der Schweiz lebende Bruder gewesen sei, der sich angesichts seiner schweren (Nennung Verletzung) um ihn kümmern könne (vgl. act. A5/13 S. 8). Wäre die Situation in Italien - wie in der Beschwerdeschrift dargelegt - derart prekär für ihn gewesen, hätte jedoch erwartet werden dürfen, dass er im Rahmen des rechtlichen Gehörs auf diese für ihn kritische Situation hinweist, falls sich die Sachlage tatsächlich in dieser Weise präsentiert hätte. Insgesamt sind daher keine konkreten und substanziierten persönlichen Schwierigkeiten des Beschwerdeführers in Italien zu ersehen.</w:t>
      </w:r>
    </w:p>
    <w:p>
      <w:r>
        <w:rPr>
          <w:b/>
        </w:rPr>
        <w:t>E. 4.7</w:t>
      </w:r>
    </w:p>
    <w:p>
      <w:r>
        <w:t>Das SEM führte sodann in zutreffender Weise aus, weshalb es sich beim in der Schweiz lebenden Bruder nicht um einen Familienangehörigen im Sinne von Art. 2 Bst. g Dublin-III-VO handelt und aus welchen Gründen die Voraussetzungen von Art. 16 Dublin-III-VO nicht vorliegen, weshalb zur Vermeidung von Wiederholungen auf die zutreffenden Ausführungen im angefochtenen Entscheid verwiesen werden kann. So gelten insbesondere auch Geschwister nicht als Familienangehörige im Sinne von Art. 2 Bst. g Dublin-III-VO. Der Beschwerdeführer beruft sich in diesem Zusammenhang auf Art. 9 Dublin-III-VO, da sein in der Schweiz als anerkannter Flüchtling lebender und im Besitz einer Niederlassungsbewilligung befindlicher Bruder als Begünstigter internationalen Schutzes in einem Mitgliedstaat aufenthaltsberechtigt sei, und bringt dazu vor, dass die Dublin-III-VO den Begriff der Familienangehörigkeit unterschiedlich regle und sich dieser nicht nur auf die Kernfamilie beschränke. Dies vermag jedoch nicht zu einer anderen Einschätzung zu führen respektive eine Zuständigkeit gemäss Art. 9 Dublin-III-VO zu begründen. Der Begriff der Familienangehörigen wird nämlich in Art. 2 Bst. g Dublin-III-VO umfassend konkretisiert, wobei Art. 9 Dublin-III-VO lediglich präzisiert, dass in Abweichung zur Definition von Art. 2 Bst. g die Familie nicht bereits im Heimatland bestanden haben muss (vgl. Urteil des BVGer E-6513/2014 vom 3. Dezember 2015 E.5.3.2, zur Publikation vorgesehen). Wohl trifft es zu, dass in besonderen Fallkonstellationen auch der Aufenthaltsort der Geschwister, Onkel, Tanten und Grosseltern eine Zuständigkeit des Mitgliedstaats nach Art. 2 Bst. g Dublin-III-VO zum Beispiel in Verbindung mit Art. 8 Dublin-III-VO zu begründen vermag. Dies betrifft jedoch lediglich die Fälle, in denen es sich um einen minderjährigen, unverheirateten Antragsteller handelt. Diese Voraussetzungen liegen beim volljährigen Beschwerdeführer klarerweise nicht vor.</w:t>
      </w:r>
    </w:p>
    <w:p>
      <w:r>
        <w:rPr>
          <w:b/>
        </w:rPr>
        <w:t>E. 4.8</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4.9</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des Beschwer­deführers zuständige Mitgliedstaat gemäss Dublin-III-VO. Italien ist verpflichtet, ihn gemäss Art. 22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und die Verfügung des SEM zu bestätigen.</w:t>
      </w:r>
    </w:p>
    <w:p>
      <w:r>
        <w:rPr>
          <w:b/>
        </w:rPr>
        <w:t>E. 8.2</w:t>
      </w:r>
    </w:p>
    <w:p>
      <w:r>
        <w:t>Das Beschwerdeverfahren ist mit vorliegendem Urteil abgeschlossen, weshalb sich die Anträge, es sei mit superprovisorischer und provisorischer Verfügung der vorliegenden Beschwerde die aufschiebende Wirkung zu erteilen, es sei die Kantonspolizei L._______ anzuweisen, die Vollzugsbemühungen umgehend einzustellen und es sei auf die Erhebung eines Kostenvorschusses zu verzichten, als gegenstandslos erweisen.</w:t>
      </w:r>
    </w:p>
    <w:p>
      <w:r>
        <w:rPr>
          <w:b/>
        </w:rPr>
        <w:t>E. 9</w:t>
      </w:r>
    </w:p>
    <w:p>
      <w:r>
        <w:t>Nach dem Gesagten ist das mit der Beschwerde gestellte Gesuch um Gewährung der unentgeltlichen Rechtspflege abzuweisen, da die Begehren - wie sich aus den vorstehenden Erwägungen ergibt - als aussichtlos zu bezeichnen waren, weshalb sowohl die Voraussetzungen von Art. 65 Abs. 1 VwVG als auch diejenigen von Art. 65 Abs. 2 VwVG nicht erfüllt sind (vgl. Art. 110a Abs. 2 AsylG).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