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D-1299/2021 vom 23. Februar 2021</w:t>
      </w:r>
    </w:p>
    <w:p>
      <w:r>
        <w:t>Bundesverwaltungsgericht, 2021-02-23, IT</w:t>
      </w:r>
    </w:p>
    <w:p>
      <w:r>
        <w:rPr>
          <w:b/>
        </w:rPr>
        <w:t xml:space="preserve">Quelle: </w:t>
      </w:r>
      <w:r>
        <w:t>https://mcp.opencaselaw.ch/entscheid/bvger_D-1299_2021_d20210223</w:t>
      </w:r>
    </w:p>
    <w:p>
      <w:r>
        <w:t>FR: TAF D-1299/2021 du 23 février 2021</w:t>
      </w:r>
    </w:p>
    <w:p>
      <w:r>
        <w:t>IT: TAF D-1299/2021 del 23 febbraio 2021</w:t>
      </w:r>
    </w:p>
    <w:p>
      <w:pPr>
        <w:pStyle w:val="Heading2"/>
      </w:pPr>
      <w:r>
        <w:t>Regeste</w:t>
      </w:r>
    </w:p>
    <w:p>
      <w:r>
        <w:t>Asilo ed allontanamento (domanda multipla/decisione di riesame) | Asilo ed allontanamento (domanda multipla/decisione di riesame); decisione della SEM del 23 febbraio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1’500.– sono poste a carico del ricorrente. Parte di esse è prelevata dall’anticipo spese di CHF 750.– versato l’11 lu- glio 2022 dal ricorrente. Il restante importo di CHF 750.– deve essere ver- 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canto- nale competente.</w:t>
      </w:r>
    </w:p>
    <w:p>
      <w:r>
        <w:t>La giudice unica: La cancelliera:</w:t>
      </w:r>
    </w:p>
    <w:p>
      <w:r>
        <w:t>Chiara Piras Francesca Bertini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