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D-1292/2016 vom 8. März 2016</w:t>
      </w:r>
    </w:p>
    <w:p>
      <w:r>
        <w:t>Bundesverwaltungsgericht, 2016-03-08, DE</w:t>
      </w:r>
    </w:p>
    <w:p>
      <w:r>
        <w:rPr>
          <w:b/>
        </w:rPr>
        <w:t xml:space="preserve">Quelle: </w:t>
      </w:r>
      <w:r>
        <w:t>https://mcp.opencaselaw.ch/entscheid/bvger_D-1292_2016</w:t>
      </w:r>
    </w:p>
    <w:p>
      <w:r>
        <w:t>FR: TAF D-1292/2016 du 8 mars 2016</w:t>
      </w:r>
    </w:p>
    <w:p>
      <w:r>
        <w:t>IT: TAF D-1292/2016 del 8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Beschwerdeführerin bringt vor, sich im Heimatland Serbien in einer sehr schwierigen Situation zu befinden und deshalb geflüchtet zu sein. Sie lebe seit einem Überfall im Dezember 2012 in stetiger Angst. Sie könne auch von ihrer Familie keine Hilfe und Unterstützung erhalten.</w:t>
      </w:r>
    </w:p>
    <w:p>
      <w:r>
        <w:rPr>
          <w:b/>
        </w:rPr>
        <w:t>E. 6.2</w:t>
      </w:r>
    </w:p>
    <w:p>
      <w:r>
        <w:t>Die Vorinstanz verwies zur Begründung ihres ablehnenden Entscheides auf die Erwägungen der Verfügung des BFM vom 1. Mai 2012 und des Urteils des Bundesverwaltungsgerichts vom 23. Mai 2012 und hielt fest, dass sie sich mit der geltend gemachten Bedrohung durch Drittpersonen bereits im Rahmen des ordentlichen Asylverfahren auseinander gesetzt habe. Das BFM wie auch das Gericht seien zum Schluss gekommen, dass die serbischen Behörden schutzwillig und weitestgehend auch schutzfähig seien, weshalb die Asylvorbringen der Beschwerdeführerin übereinstimmend als nicht asylrelevant eingestuft worden seien. Diese Feststellung gelte auch für das Vorbringen im zweiten Asylgesuch. Das eingereichte Beweismittel zeige auf, dass sich die Beschwerdeführerin sehr wohl an die heimatlichen Behörden habe wenden können und diese ihr Anliegen auch aufgenommen hätten. Überdies sei kein Kausalzusammenhang zwischen dem fluchtauslösenden Ereignis - dem Raubüberfall im Dezember 2012 - und der Flucht der Beschwerdeführerin in die Schweiz im November 2015 ersichtlich. Da dem Gesuch auch keine Hinweise auf das Vorliegen von Wegweisungsvollzugshindernissen entnommen werden könnten, sei der Vollzug der Wegweisung zulässig, zumutbar und möglich.</w:t>
      </w:r>
    </w:p>
    <w:p>
      <w:r>
        <w:rPr>
          <w:b/>
        </w:rPr>
        <w:t>E. 6.3</w:t>
      </w:r>
    </w:p>
    <w:p>
      <w:r>
        <w:t>Das Bundesverwaltungsgericht gelangt nach Prüfung der Akten zum Schluss, dass das SEM die im Rahmen des Mehrfachgesuches der Beschwerdeführerin geltend gemachten Vorbringen mit umfassender, überzeugender und auf die Akten abgestützter Begründung und rechtskonformer Würdigung des eingereichten Beweismittels zu Recht als nicht asylbeachtlich eingestuft hat. Es kann zwecks Vermeidung von Wiederholungen vollumfänglich auf die Erwägungen im Entscheid vom 17. Februar 2016 verwiesen werden. Sie geben keinen Anlass zur Beanstandung. Der Inhalt der Beschwerde führt zu keiner anderen Betrachtungsweise. Die Vorinstanz hat das Asylgesuch der Beschwerdeführerin zu Recht abgewiesen.</w:t>
      </w:r>
    </w:p>
    <w:p>
      <w:r>
        <w:rPr>
          <w:b/>
        </w:rPr>
        <w:t>E. 7.1</w:t>
      </w:r>
    </w:p>
    <w:p>
      <w:r>
        <w:t>Lehnt das Staatssekretariat das Asylgesuch ab oder tritt es darauf nicht ein, so verfügt es in der Regel die Wegweisung aus der Schweiz und ordnet den Vollzug an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Serbien ist demnach unter dem Aspekt von Art. 5 AsylG rechtmässig. Sodann ergeben sich weder aus den Aussagen der Beschwerdeführerin noch aus den Akten Anhaltspunkte dafür, dass sie für den Fall einer Ausschaffung nach Serbien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Beschwerdeführerin hat keine Gründe vorgetragen, welche den Vollzug der Wegweisung nach Serbien als unzumutbar erscheinen liessen. Sie verweist zwar auf ihre Schutzlosigkeit und den Umstand, nach dem Tod ihres Mannes auf sich alleine gestellt zu sein. Dieses Vorbringen alleine lässt jedoch den Vollzug nicht als unzumutbar erscheinen. Die Vorinstanz hat richtig festgestellt, dass die Beschwerdeführerin auch von ihren Verwandten im Ausland unterstützt werden könnte. Zwar hatte sie im ersten Verfahren vorgebracht, den Kontakt zu ihren Kindern verloren zu haben (vgl. act. A3/12, F. 3.01), jedoch leben ihre drei Schwestern in der Schweiz. Diese könnten sie auch in Serbien unterstützen. Nach dem Gesagten erweist sich der Vollzug der Wegweisung als zumutbar.</w:t>
      </w:r>
    </w:p>
    <w:p>
      <w:r>
        <w:rPr>
          <w:b/>
        </w:rPr>
        <w:t>E. 8.5</w:t>
      </w:r>
    </w:p>
    <w:p>
      <w:r>
        <w:t>Nach Aktenlage (vgl. Vorakten, Kantonspolizei C._______, Verfügung vom 2. Oktober 2012) besitzt die Beschwerdeführerin einen serbischen Reisepass mit Gültigkeit bis zum 11. Dezember 2019. Der Vollzug der Wegweisung ist daher auch möglich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