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D-1290/2014 vom 19. März 2014</w:t>
      </w:r>
    </w:p>
    <w:p>
      <w:r>
        <w:t>Bundesverwaltungsgericht, 2014-03-19, DE</w:t>
      </w:r>
    </w:p>
    <w:p>
      <w:r>
        <w:rPr>
          <w:b/>
        </w:rPr>
        <w:t xml:space="preserve">Quelle: </w:t>
      </w:r>
      <w:r>
        <w:t>https://mcp.opencaselaw.ch/entscheid/bvger_D-1290_2014</w:t>
      </w:r>
    </w:p>
    <w:p>
      <w:r>
        <w:t>FR: TAF D-1290/2014 du 19 mars 2014</w:t>
      </w:r>
    </w:p>
    <w:p>
      <w:r>
        <w:t>IT: TAF D-1290/2014 del 19 marzo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Gesuch damit, dass er der ethnischen Minderheit der Roma respektive Ashkali angehöre und aus dem Kosovo stamme. Nachdem er in der Schweiz und in Deutschland jeweils erfolglose Asylverfahren durchlaufen habe, sei er im Jahre 2010 freiwillig in den Kosovo zurückgekehrt, wo er bei seinen Eltern in B._______, Gemeinde C._______, gelebt habe. Als Roma werde man im Kosovo diskriminiert und als Zigeuner betrachtet. Deshalb habe er, obwohl er in Deutschland einen Beruf erlernt habe, in der Heimat keine Anstellung finden können. Er habe daher - wie auch sein Vater - die letzten drei Jahre als Taxifahrer gearbeitet. Dabei habe er zwar in seinem Dorf, nicht aber in der Stadt arbeiten können, da dort die Albaner das Sagen hätten. Mehrere Male hätten Albaner seine Kunden aus dem Auto geholt und ihm unter Androhung von Schlägen verboten, weiter in der Stadt zu arbeiten. Er habe sich daraufhin bei der Stadtverwaltung beschwert, welche ihm versichert habe, er dürfe mit seinem Taxischein in der ganzen Stadt stehen. Er habe sich auch an die Polizei gewandt, welche jedoch aus angeblichem Zeitmangel nichts unternommen habe. Bereits drei Tage später sei er wieder vom Taxistand in der Stadt weggejagt worden. Der Hauptgrund für seine Flucht seien allerdings nicht die schwierigen Arbeitsbedingungen, sondern vielmehr der Umstand, dass er seit fünf bis sechs Jahren homosexuell sei, wovon aber niemand wisse. Seine ersten homosexuellen Kontakte habe er damals 2008 in der Schweiz gehabt, nicht aber nach seiner Rückkehr in den Kosovo. Dennoch würden auch die dortigen Leute dies aufgrund seiner Gestik oder seiner Blicke irgendwie merken. So habe er beispielsweise einmal unbewusst einem Mann hinterhergeschaut, woraufhin Leute hinter seinem Rücken getuschelt und ihn dabei als Schwulen bezeichnet hätten. Aufgrund seiner Homosexualität würden ihn gewisse Leute, darunter auch sein Cousin, nicht mehr grüssen. Homosexualität sei im Kosovo ein Tabuthema und er habe gehört, dass Homosexuelle verprügelt worden seien. Auch seine Frau habe seine Homosexualität bemerkt und sie hätten sich - zusätzlich bedingt durch seine Depressionen - (...) scheiden lassen.</w:t>
      </w:r>
    </w:p>
    <w:p>
      <w:r>
        <w:rPr>
          <w:b/>
        </w:rPr>
        <w:t>E. 5.2</w:t>
      </w:r>
    </w:p>
    <w:p>
      <w:r>
        <w:t>Das BFM begründete seinen Entscheid damit, die vom Beschwerdeführer geltend gemachte Reaktion seines Umfeldes auf seine homosexuellen Neigungen seien zu wenig intensiv, um von flüchtlingsrechtlicher Relevanz zu sein. Nebst dem Umstand, dass man über ihn rede und gewisse Leute ihn nicht mehr grüssen würden, seien keine Behelligungen vorgebracht worden, und er sei auch nicht von seiner Familie verstossen worden, obwohl sie von seiner Neigung ebenfalls Kenntnis habe. Die pauschale Darlegung, Homosexuelle würden im Kosovo verprügelt, genüge zur Begründung der Flüchtlingseigenschaft nicht. Im Übrigen sei der Schutz von Homosexuellen im Kosovo in der Verfassung sowie in Antidiskriminierungsgesetzen verankert. Bei den Behelligungen seitens der Albaner aufgrund der Zugehörigkeit des Beschwerdeführers zur Volksgruppe der Roma handle es sich um eine Verfolgung durch private Dritte. Übergriffe durch Private seien nur dann asylrelevant, wenn der Staat seiner Schutzpflicht nicht nachkommen könne oder wolle. Am 17. Februar 2008 habe der Kosovo die Unabhängigkeit erklärt und gemäss der neuen kosovarischen Verfassung sei auch nach dem Statuswechsel eine internationale zivile und militärische Präsenz vorgesehen. Im Kosovo bestünden mit der United Nations Interim Administration Mission in Kosovo (UNMIK) und der Europäischen Union (EU) zwei internationale Missionen. Die am 9. Dezember 2008 offiziell gestartete EULEX-Mission sei formal den Vereinten Nationen unterstellt und werde unter deren Oberhoheit und innerhalb eines statusneutralen Rahmens geführt. Die EULEX-Mission umfasse Polizisten, Richter, Staatsanwälte und Straf­vollzu­gs­beamte. Die internationalen Sicherheitskräfte sowie die Kosovo Police würden die Sicherheit garantieren und seien weitgehend in der Lage, die Bevölkerung im Kosovo zu schützen. Bei Übergriffen würden sie regelmässig intervenieren und bei Straftaten würden Ermittlungen aufgenommen. Zentrale Polizeifunktionen würden weiterhin von internationalen Polizeikräften wahrgenommen. Die neue kosovarische Verfassung gestehe den Minderheiten umfassende Rechte zu. Hinsichtlich der vorgebrachten Behelligungen seitens der Albaner bestünde daher die Möglichkeit, sich bei den heimatlichen Behörden um Schutz zu bemühen. Diesbezüglich habe der Beschwerdeführer erwähnt, die Gemeinde habe ihm versichert, er könne seinem Beruf auch in der Stadt nachgehen. Selbst wenn - wie dies geltend gemacht wurde - die Polizei bisher untätig geblieben sei, könnte er sich erneut an diese oder aber an die nächsthöhere Stelle wenden, um etwaige Vorfälle zur Anzeige zu bringen. Daher sei vom Vorhandensein eines adäquaten staatlichen Schutzes auszugehen.</w:t>
      </w:r>
    </w:p>
    <w:p>
      <w:r>
        <w:rPr>
          <w:b/>
        </w:rPr>
        <w:t>E. 5.3</w:t>
      </w:r>
    </w:p>
    <w:p>
      <w:r>
        <w:t>Gegenüber dieser Argumentation wurde in der Beschwerde eingewendet, die Reaktion seiner Familie auf seine sexuelle Neigung würde heftiger ausfallen, sobald er sich outen würde. Dann würde ihn seine Familie verstossen und er müsste verschwinden. Er könne seine Homosexualität nicht länger geheim halten. Ein Ausleben seiner Neigung sei im Kosovo jedoch nicht möglich, da er dort - im Gegensatz zur Schweiz - in extremer Angst, angegriffen und geschlagen zu werden, leben müsste. Die Situation von Homosexuellen habe sich im Kosovo trotz der Antidiskriminierungsgesetze nicht verbessert. 6.1 Das Bundesverwaltungsgericht schliesst sich der Auffassung des BFM an, wobei im Wesentlichen auf dessen Begründung verwiesen werden kann. Präzisierend ist jedoch noch auf folgende Punkte hinzuweisen: Die vom Beschwerdeführer geltend gemachten Schikanen, welchen er bei der Ausübung seines Taxifahrerberufs ausgesetzt war, sind aufgrund der geringen Intensität nicht asylbeachtlich. Denn die im Gesetz in Art. 3 AsylG definierte Flüchtlingseigenschaft ist erst dann erfüllt, wenn die betreffende Person Nachteile von bestimmter Intensität erlitten hat beziehungsweise mit beachtlicher Wahrscheinlichkeit und in absehbarer Zukunft begründeterweise deren Eintritt befürchten muss (vgl. BVGE 2008/4 E. 5.2 S. 37; EMARK 2006 Nr. 18 E. 7 und 8 S. 190 ff.; EMARK 2005 Nr. 21 E. 7 S. 93). Konkret liegt eine Verfolgung von asylrelevanter Intensität dann vor, wenn mit jener eine direkte und ernsthafte Gefahr gegen Leib, Leben und Freiheit einhergeht, was vorliegend zu verneinen ist. 6.2 In gleicher Weise verhält es sich mit den geltend gemachten Schwierigkeiten aufgrund seiner Homosexualität. Denn die Beurteilung, ob eine asylrelevante Gefährdung vorliegt, hat vorliegend nicht abstrakt, sondern anhand des konkreten Einzelfalles zu erfolgen. Im Zusammenhang mit seiner sexuellen Ausrichtung macht der Beschwerdeführer bezogen auf seine Person lediglich geltend, man habe hinter seinem Rücken über ihn geredet und diverse Leute - insbesondere sein Cousin - würden ihn nicht mehr grüssen. Diese Nachteile erweisen sich als deutlich zu wenig intensiv, um eine Verfolgung im flüchtlingsrechtlich relevanten Sinne darzustellen. Darüber hinaus stützt sich sein Gesuch auf die allgemein gehaltene Aussage respektive den Bericht der SFH, wonach homosexuelle Männer im Kosovo systematisch diskriminiert würden, weshalb der Beschwerdeführer bei einer Rückkehr begründete Furcht vor Verfolgung habe. Der vorangehend skizzierten Anforderungen an die Flüchtlingseigenschaft genügt diese vom Beschwerdeführer hauptsächlich pauschal geltend gemachte gesellschaftliche Diskriminierung klarerweise nicht. 6.3 Der bereits in der Anhörung erwähnte und in der Beschwerde geltend gemachte angeblich in der Schweiz erfolgte tätliche Angriff auf seine Person aufgrund seiner Homosexualität weist keinen Bezug zur Lage in seinem Heimatland auf, wodurch darauf nicht weiter einzugehen ist. 6.4 Zusammenfassend ist mithin festzuhalten, dass das BFM zu Recht die Flüchtlingseigenschaft des Beschwerdeführers verneinte und sein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BFM begründete seine Verfügung damit, dass sich die Sicherheitslage im Kosovo in jüngster Zeit verbessert habe, was sich positiv auf das interethnische Zusammenleben für albanischsprachige Roma, Ägypter und Ashkali auswirke. Eine Gefährdung alleine aufgrund der Ethnie sei daher ausgeschlossen. Auf individueller Ebene verfüge der Beschwerdeführer im Heimatland über ein umfangreiches verwandtschaftliches Beziehungsnetz, und er habe bis zu seiner Ausreise als Taxifahrer gearbeitet. Seine geltend gemachten psychischen Beschwerden würden sich auch im Kosovo behandeln lassen. So verfüge etwa die Universitätsklinik Pristina über eine neuropsychiatrische Abteilung, wo medikamentöse Behandlungen und unterstützende psychiatrisch-therapeutische Gespräche möglich seien. Zudem bestehe eine der Klinik angeschlossene psychiatrische Einrichtung für kurz- bis mittelfristige stationäre Aufenthalte.</w:t>
      </w:r>
    </w:p>
    <w:p>
      <w:r>
        <w:rPr>
          <w:b/>
        </w:rPr>
        <w:t>E. 8.6</w:t>
      </w:r>
    </w:p>
    <w:p>
      <w:r>
        <w:t>Diese Ansicht, welcher in der Beschwerde nichts Substanzielles entgegnet wurde, wird vom Gericht bestätigt. Ergänzend ist einerseits noch festzuhalten, dass der Beschwerdeführer im Kosovo im Haus (...) (act. C32 F16 S. 3; act. A7 S.4) auch über eine gesicherte Wohnsituation verfügt. Andererseits kann auf die Erwägung 8.2.3 im Urteil D-6844/2007 vom 9. Februar 2009 verwiesen werden. Anhaltspunkte, dass sich die darin festgestellten vollzugsrelevanten Parameter wesentlich verändert hätten, liegen nicht vor und werden auch nicht geltend gemacht. Die gemäss BVGE 2007/10 geforderten Reintegrationskriterien liegen in casu mithin vor.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mit der Beschwerde gestellte Gesuch um Gewährung der unentgeltlichen Rechtspflege im Sinne von Art. 65 Abs. 1 VwVG ist abzuweisen, da die Begehren - wie sich aus den vorstehenden Erwägungen ergibt - als aussichtlos zu bezeichnen waren, weshalb die Voraussetzungen für die Gewährung der unentgeltlichen Rechtspflege nicht erfüllt sind.</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