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D-1289/2013 vom 23. Oktober 2013</w:t>
      </w:r>
    </w:p>
    <w:p>
      <w:r>
        <w:t>Bundesverwaltungsgericht, 2013-10-23, DE</w:t>
      </w:r>
    </w:p>
    <w:p>
      <w:r>
        <w:rPr>
          <w:b/>
        </w:rPr>
        <w:t xml:space="preserve">Quelle: </w:t>
      </w:r>
      <w:r>
        <w:t>https://mcp.opencaselaw.ch/entscheid/bvger_D-1289_2013</w:t>
      </w:r>
    </w:p>
    <w:p>
      <w:r>
        <w:t>FR: TAF D-1289/2013 du 23 octobre 2013</w:t>
      </w:r>
    </w:p>
    <w:p>
      <w:r>
        <w:t>IT: TAF D-1289/2013 del 23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Im vorliegenden Fall ist in einem ersten Schritt auf die mit der Beschwerdeschrift vorgebrachte Rüge einzugehen, der Anspruch des Beschwerdeführers auf rechtliches Gehör sei in verschiedenster Hinsicht verletzt worden.</w:t>
      </w:r>
    </w:p>
    <w:p>
      <w:r>
        <w:rPr>
          <w:b/>
        </w:rPr>
        <w:t>E. 3.1.1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der Bundesverfassung der Schweizeri­schen Eidgenossenschaft vom 18. April 1999 (BV, SR 101) ergeben.</w:t>
      </w:r>
    </w:p>
    <w:p>
      <w:r>
        <w:rPr>
          <w:b/>
        </w:rPr>
        <w:t>E. 3.1.2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6. Aufl., Zürich/ St. Gallen 2010, S. 384 ff.; Alfred Kölz/Isabelle Häner/Martin Bertschi, Verwaltungsverfahren und Verwaltungsrechtspflege des Bundes, 3. Aufl., Zürich 2013, S. 70 ff., 171 ff.; Jörg Paul Müller/Markus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 Hottelier, a.a.O., S. 611 ff.; Reinhold Hotz, St. Galler Kommentar zu Art. 29 BV, Rz. 34 ff.).</w:t>
      </w:r>
    </w:p>
    <w:p>
      <w:r>
        <w:rPr>
          <w:b/>
        </w:rPr>
        <w:t>E. 3.2</w:t>
      </w:r>
    </w:p>
    <w:p>
      <w:r>
        <w:t>Der Beschwerdeführer macht zunächst geltend, eine Gehörsverletzung sei darin zu erkennen, dass ihm durch das BFM keine vollständige Einsicht in die Akten des Asylverfahrens, nämlich in die Aktenstücke A 15/6 und A 17/2, gewährt worden sei. Bei diesen Dokumenten handelt es sich um Kopien zweier Rechtsakte der zuständigen Behörden im Zuweisungskanton des Beschwerdeführers (betreffend eine polizeiliche Einvernahme wegen Ausübens einer Erwerbstätigkeit ohne Bewilligung [A 15/6] bzw. betreffend Verletzung der Einreisebestimmungen [A 17/2]), die keinen direkten inhaltlichen Bezug zum Asylverfahren aufweisen. Mangels Entscheidrelevanz bezüglich der Rechtsfragen im Asylverfahren wurden diese Aktenstücke durch das BFM somit zu Recht nicht zur Edition freigegeben, und es liegt unter diesem Gesichtspunkt keine Verletzung des rechtlichen Gehörs vor. Angesichts dessen ist auch das mit der Beschwerdeschrift gestellte Gesuch um Einsicht in diese vorinstanzlichen Akten und um Gewährung einer Frist zur Ergänzung der Beschwerde abzuweisen.</w:t>
      </w:r>
    </w:p>
    <w:p>
      <w:r>
        <w:rPr>
          <w:b/>
        </w:rPr>
        <w:t>E. 3.3.1</w:t>
      </w:r>
    </w:p>
    <w:p>
      <w:r>
        <w:t>Weiter wird geltend gemacht, der Anspruch auf das rechtliche Gehör sei verletzt worden, indem in der angefochtenen Verfügung verschiedene Elemente des in den durchgeführten Befragungen erhobenen Sachverhalts nicht erwähnt wurden. Im Einzelnen werden in diesem Zusammenhang folgende Aspekte genannt: die ethnische Zugehörigkeit des Beschwerdeführers als Kurde; dass er das Tötungsdelikt, dessentwegen er verurteilt worden sei, tatsächlich gar nicht begangen habe; seine Beteiligung an verschiedenen Demonstrationen der BDP (Bari ve Demokrasi Partisi; Partei des Friedens und der Demokratie) in der Türkei; dass das Opfer des Tötungsdelikts aus einer reichen und einflussreichen Familie in B._______ stamme; dass er in der Schweiz zunächst bei einer Tante Zuflucht gesucht habe, welche die Flüchtlingseigenschaft erfülle; dass er nicht in der Lage sei, Ausweispapiere einzureichen, da sich diese bei der Gefängnisleitung befänden. Des Weiteren seien die vom Beschwerdeführer im vorinstanzlichen Verfahren abgegebenen Beweismittel durch das BFM weder übersetzt noch im Entscheid berücksichtigt worden.</w:t>
      </w:r>
    </w:p>
    <w:p>
      <w:r>
        <w:rPr>
          <w:b/>
        </w:rPr>
        <w:t>E. 3.3.2</w:t>
      </w:r>
    </w:p>
    <w:p>
      <w:r>
        <w:t>Die verfügende Behörde muss sich zwar nicht ausdrücklich mit jeder tatbeständlichen Behauptung und jedem rechtlichen Einwand ausein­andersetzen, sondern darf sich auf die wesentlichen Gesichtspunkte beschränken (vgl. BGE 126 I 97 E. 2b). Im vorliegenden Fall ist denn auch festzustellen, dass den vom Beschwerdeführer im Zusammenhang mit seiner Rüge der Gehörsverletzung genannten Sachverhaltsaspekten in Bezug auf die hauptsächlichen Rechtsfragen zu einem gewissen Teil keine entscheidwesentliche Bedeutung zukommt. Dies gilt etwa für das Vorbringen, der Beschwerdeführer habe verschiedentlich an Demonstrationen der kurdischen Partei BDP teilgenommen. Diesbezüglich ist festzuhalten, dass der Beschwerdeführer anlässlich seiner Befragungen im vor­instanzlichen Verfahren keinerlei Probleme geltend gemacht hat, die auf seine ethnische Zugehörigkeit oder auf politische Aktivitäten zurückgeführt werden könnten. Zwar berichtete er davon, dass er an Kundgebungen der BDP teilgenommen habe; indessen erwähnte er in diesem Zusammenhang keine weiteren Schwierigkeiten. Vielmehr hielt er auf entsprechende Frage hin ausdrücklich fest, abgesehen von seiner Verurteilung wegen des genannten Tötungsdelikts habe er nie irgendwelche Probleme mit den türkischen Behörden gehabt (vgl. Protokoll der Erstbefragung, S. 8).</w:t>
      </w:r>
    </w:p>
    <w:p>
      <w:r>
        <w:rPr>
          <w:b/>
        </w:rPr>
        <w:t>E. 3.3.3</w:t>
      </w:r>
    </w:p>
    <w:p>
      <w:r>
        <w:t>Demgegenüber ist jedoch festzustellen, dass auf andere Gesichtspunkte der Vorbringen des Beschwerdeführers in der Tat nicht in ausreichender Weise eingegangen wurde. Aus den Aussagen des Beschwerdeführers anlässlich seiner Anhörungen geht hervor, dass seine Furcht vor Blutrache wegen eines ihm zugeschriebenen Tötungsdelikts einen wesentlichen Grund für seine Ausreise bildete. Einmal sei er im Gefängnis von einem Mithäftling, bei dem es sich um einen Verwandten des Opfers des Tötungsdelikts gehandelt habe, mit einer Rasierklinge angegriffen worden. Zudem hätten während eines Hafturlaubs am 26. Januar 2012 der Vater und der Sohn des Getöteten auf ihn geschossen. Dabei führte er ausserdem aus, die Familie des Getöteten sei in B._______ sehr einflussreich. Indessen wurden im Rahmen der vorinstanzlichen Anhörungen kaum vertiefende Fragen zu den genaueren Umständen der Bedrohung durch Blutrache gestellt. Insbesondere wurde nicht weiter thematisiert, welcher Art der Einfluss der genannten Familie in B._______ sei. Dabei ist von Interesse, ob sich dieser Einfluss möglicherweise auf die Beantwortung der Frage auswirkt, ob der Beschwerdeführer seitens der türkischen Behörden mit adäquaten Schutzmassnahmen gegen die Bedrohung durch Blutrache rechnen kann. In diesem Zusammenhang ist zu erwähnen, dass der Beschwerdeführer zwar zu Protokoll gab, die Leitung der offenen Haftanstalt, in welcher er sich seit Beginn des Jahres 2012 befunden habe, habe ihm - nachdem er den Angriff vom 26. Januar 2012 gemeldet habe - als Schutzmassnahme angeboten, ihn wieder in die geschlossene Strafanstalt zu verlegen. Jedoch wurde er gemäss seinen Aussagen einmal, im August 2009, sogar im geschlossenen Strafvollzug durch einen Familienangehörigen des Getöteten angegriffen, womit sich die Frage stellt, inwiefern seine Sicherheit selbst in einer geschlossenen Strafanstalt gewährleistet wäre. Der Umstand, dass in der angefochtenen Verfügung das Vorbringen, es handle sich bei den Angehörigen der getöteten Person um eine einflussreiche Familie, weder erwähnt noch bei der Beurteilung berücksichtigt wurde, stellt insofern unter dem Aspekt der behördlichen Pflicht, die Vorbringen sorgfältig und ernsthaft zu prüfen und in der Entscheidfindung zu berücksichtigen, tatsächlich einen erheblichen Mangel dar.</w:t>
      </w:r>
    </w:p>
    <w:p>
      <w:r>
        <w:rPr>
          <w:b/>
        </w:rPr>
        <w:t>E. 3.3.4</w:t>
      </w:r>
    </w:p>
    <w:p>
      <w:r>
        <w:t>Schliesslich ist insbesondere auf die Rüge einzugehen, die vom Beschwerdeführer im vorinstanzlichen Verfahren abgegebenen Beweismittel seien nicht übersetzt und entsprechend auch nicht beim Entscheid berücksichtigt worden. Diesbezüglich ist zunächst festzustellen, dass der Beschwerdeführer anlässlich seiner Befragungen Kopien einer türkischen Anklageschrift, eines türkischen Gerichtsurteils sowie einer Haftbescheinigung abgab. Diese Beweismittel wurden durch das BFM weder selbst übersetzt, noch wurde der Beschwerdeführer zur Einreichung einer ent­sprechenden Übersetzung aufgefordert. In der angefochtenen Verfügung wurde zwar deren Abgabe erwähnt, ansonsten aber nicht weiter darauf eingegangen. Gemäss geltender Rechtspraxis kann die zuständige Behörde von der Abnahme angebotener Beweismittel absehen, wenn diesen keine Tauglichkeit zum Beweis des behaupteten Sachverhalts zukommt. Allerdings ist eine derartige antizipierte Beweiswürdigung nur unter der Voraussetzung zulässig, dass das angebotene Beweismittel offensichtlich nicht geeignet ist, das Beweisergebnis zu beeinflussen (vgl. Bernhard Waldmann/Jürg Bickel, in: Bernhard Waldmann/Philippe Weissenberger [Hrsg.], Praxiskommentar VwVG, Zürich/Basel/Genf 2009, Art. 33, N 14 ff., m.w.N.). Mit Blick auf die behördliche Pflicht zur Abnahme der angebotenen und tauglichen Beweise (Art. 33 VwVG) stellt sich in diesem Zusammenhang die Frage, ob die Vorinstanz hinsichtlich der genannten Dokumente ohne weiteres - im Sinne einer antizipierten Beweiswürdigung - ohne jegliche Kenntnis des konkreten Inhalts davon ausgehen durfte, es komme ihnen keinerlei Entscheidrelevanz zu. Dies wäre der Fall, sofern mit ausreichender Sicherheit angenommen werden könnte, die Verurteilung des Beschwerdeführers zu einer langjährigen Haftstrafe wegen eines Tötungsdelikts stehe in keinerlei Verbindung zu seiner Furcht, zum Opfer einer Blutrache zu werden und zudem - insbesondere - auch nicht entsprechenden staatlichen Schutz zu erhalten. Jedoch legen es die besonderen Umstände des vorliegenden Falles nahe, nicht von einer solchen Gewissheit auszugehen. Der Beschwerdeführer machte anlässlich seiner Anhörungen im vorinstanzlichen Verfahren geltend, er habe die Schuld für das fragliche Tötungsdelikt, das er nicht begangen habe, aus familiären Gründen auf sich nehmen müssen. Die Tat sei in Wirklichkeit durch einen Cousin begangen worden, welcher der Sohn eines Onkels sei, der für den Beschwerdeführer, dessen Mutter und Geschwister nach dem Tod des eigenen Vaters aufgekommen sei. Jener Onkel habe beschlossen, dass der Beschwerdeführer die Schuld an der Tat auf sich zu nehmen habe, und er habe aus Pflichtgefühl gehorcht, wobei er schliesslich aufgrund von Falschaussagen verurteilt worden sei. Es stellt sich mithin die Frage, ob aus den im vorinstanzlichen Verfahren wie auch im Beschwerdeverfahren eingereichten türkischen Justizakten Erkenntnisse gewonnen werden könnten, welche die behauptete Bedrohungssituation des Beschwerdeführers - zum einen seitens der eigenen Familienangehörigen, zum anderen seitens der Angehörigen des Opfers des Tötungsdelikts - zu erhellen vermögen. Dabei ist insbesondere von Interesse, ob Anhaltspunkte gegeben sein könnten, die auf eine behördliche Mitverantwortung für eine allfällige unrechtmässige Verurteilung des Beschwerdeführers und/oder für einen ungenügenden staatlichen Schutz vor der geltend gemachten Bedrohung durch Blutrache schliessen lassen würden.</w:t>
      </w:r>
    </w:p>
    <w:p>
      <w:r>
        <w:rPr>
          <w:b/>
        </w:rPr>
        <w:t>E. 3.4</w:t>
      </w:r>
    </w:p>
    <w:p>
      <w:r>
        <w:t>Nach dem Gesagten ist festzustellen, dass die angefochtene Verfügung unter Verletzung des Grundsatzes des rechtlichen Gehörs zustande gekommen ist, indem Aspekte des geltend gemachten Sachverhalts sowie Beweismittel, die möglicherweise entscheidwesentlich sein könnten, unberücksichtigt geblieben sind. Weiter stützt sich der vorinstanzliche Entscheid auch auf einen unvollständig festgestellten Sachverhalt, indem anlässlich der bisher durchgeführten Befragungen nicht ausreichend erhoben worden ist, auf welchen sachlichen Grundlagen die behauptete Bedrohung durch Blutrache und das diesbezüglich befürchtete Fehlen adäquaten staatlichen Schutzes beruhen. Das BFM ist daher aufzufordern, die erforderlichen entsprechenden Massnahmen durchzuführen und gestützt auf deren Ergebnisse das Asylgesuch neu zu beurteilen. Dabei ist festzuhalten, dass die im vorinstanzlichen Verfahren sowie im vorliegenden Beschwerdeverfahren eingereichten Beweismittel in rechtsgenüg­licher Weise zu berücksichtigen sein werden. Weiter dürften sich die zu klärenden Punkte kaum ohne entsprechende ergänzende Befragung des Beschwerdeführers durch das Bundesamt beantworten lassen.</w:t>
      </w:r>
    </w:p>
    <w:p>
      <w:r>
        <w:rPr>
          <w:b/>
        </w:rPr>
        <w:t>E. 4</w:t>
      </w:r>
    </w:p>
    <w:p>
      <w:r>
        <w:t>Nach dem Gesagten ist die Beschwerde insofern gutzuheissen, als damit die Aufhebung der angefochtenen Verfügung beantragt wird, und die Sache ist zur erneuten Beurteilung im Sinne der Erwägungen an die Vorinstanz zurückzuweisen.</w:t>
      </w:r>
    </w:p>
    <w:p>
      <w:r>
        <w:rPr>
          <w:b/>
        </w:rPr>
        <w:t>E. 5.1</w:t>
      </w:r>
    </w:p>
    <w:p>
      <w:r>
        <w:t>Bei diesem Ausgang des Verfahrens sind keine Kosten zu erheben (Art. 63 Abs. 3 VwVG i.V.m. Art. 37 VGG).</w:t>
      </w:r>
    </w:p>
    <w:p>
      <w:r>
        <w:rPr>
          <w:b/>
        </w:rPr>
        <w:t>E. 5.2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des Rechtsvertreters vom 3. Oktober 2013 ist die Parteientschädigung auf Fr. 1 825.- (inkl. Auslagen und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