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D-1284/2021 vom 24. Juni 2021</w:t>
      </w:r>
    </w:p>
    <w:p>
      <w:r>
        <w:t>Bundesverwaltungsgericht, 2021-06-24, DE</w:t>
      </w:r>
    </w:p>
    <w:p>
      <w:r>
        <w:rPr>
          <w:b/>
        </w:rPr>
        <w:t xml:space="preserve">Quelle: </w:t>
      </w:r>
      <w:r>
        <w:t>https://mcp.opencaselaw.ch/entscheid/bvger_D-1284_2021</w:t>
      </w:r>
    </w:p>
    <w:p>
      <w:r>
        <w:t>FR: TAF D-1284/2021 du 24 juin 2021</w:t>
      </w:r>
    </w:p>
    <w:p>
      <w:r>
        <w:t>IT: TAF D-1284/2021 del 24 giugno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105 und 108 Abs. 2 AsylG, Art. 52 Abs. 1 VwVG).</w:t>
      </w:r>
    </w:p>
    <w:p>
      <w:r>
        <w:rPr>
          <w:b/>
        </w:rPr>
        <w:t>E. 2</w:t>
      </w:r>
    </w:p>
    <w:p>
      <w:r>
        <w:t>Die Kognition des Bundesverwaltungsgerichts und die zulässigen Rügen richten sich im Asylbereich nach Art. 106 Abs. 1 AsylG (vgl. BVGE 2014/26 E. 5).</w:t>
      </w:r>
    </w:p>
    <w:p>
      <w:r>
        <w:rPr>
          <w:b/>
        </w:rPr>
        <w:t>E. 3.1</w:t>
      </w:r>
    </w:p>
    <w:p>
      <w:r>
        <w:t>In der Beschwerde wird unter anderem gerügt, die Vorinstanz habe den Beschwerdeführer zu seinem Hauptvorbringen, der Entführung durch die Taliban, nicht angehört und damit den Sachverhalt unvollständig festgestellt. Diese formelle Rüge ist vorab zu beurteilen, da sie gegebenenfalls geeignet ist, eine Kassation der vorinstanzlichen Verfügung zu bewirken.</w:t>
      </w:r>
    </w:p>
    <w:p>
      <w:r>
        <w:rPr>
          <w:b/>
        </w:rPr>
        <w:t>E. 3.1.1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 35 E. 6.4.1). Ausserdem ist die Vorinstanz an den Untersuchungsgrundsatz gebunden. Die unrichtige oder unvollständige Feststellung des rechtserheblichen Sachverhalts bildet demnach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statt vieler: Urteil des BVGer E-3615/2020 vom 18. Mai 2021 E. 3.2.3).</w:t>
      </w:r>
    </w:p>
    <w:p>
      <w:r>
        <w:rPr>
          <w:b/>
        </w:rPr>
        <w:t>E. 3.1.2</w:t>
      </w:r>
    </w:p>
    <w:p>
      <w:r>
        <w:t>Die Anhörung ist grundsätzlich der wichtigste Bestandteil des materiellen Asylverfahrens, da sie das Kernelement der Abklärung darstellt, ob die asylsuchende Person Schutz benötigt, dabei steht die Feststellung der Flüchtlingseigenschaft im Zentrum der Anhörung (vgl. beispielsweise BVGE 2009/53 E. 7.1). Neben diesem Zweck der Sachverhaltsabklärung, die im Asylverfahren grundsätzlich von Amtes wegen durchzuführen ist (Art. 12 i.V.m. 6 VwVG), dient sie auch der Absicherung des Mitwirkungsrechts der asylsuchenden Person (vgl. BVGE 2007/30 E. 5.5.2). Das über die Anhörung erstellte Protokoll wird durch die anhörende, die angehörte, die Rechtsvertretung und die dolmetschende Person unterschrieben. Durch die auf jeder Seite des Protokolls anzubringende Unterschrift bestätigt die asylsuchende Person sodann den Inhalt der Anhörung (vgl. Constantin Hruschka, in: OFK/Migrationsrecht, 5. Aufl. 2019, Art. 29 AsylG N 1 ff.).</w:t>
      </w:r>
    </w:p>
    <w:p>
      <w:r>
        <w:rPr>
          <w:b/>
        </w:rPr>
        <w:t>E. 3.2</w:t>
      </w:r>
    </w:p>
    <w:p>
      <w:r>
        <w:t>Zunächst ist festzuhalten, dass die Vorinstanz den Beschwerdeführer im Rahmen der Anhörung vom 5. August 2020, welche sie, entgegen der Bezeichnung im Protokoll, gemäss Art. 29 AsylG vertieft vorgenommen haben will, zu seinen Gesuchsgründen befragte und der Beschwerdeführer sich zur geltend gemachten Entführung durch die Taliban äusserte. Festzuhalten ist an dieser Stelle auch, dass das vorgenannte Protokoll die auf jeder Seite anzubringende und den Inhalt bestätigende Unterschrift des Beschwerdeführers (vgl. E. 3.1.2 hiervor) vermissen lässt. Nichtsdestotrotz ist der Beschwerdeführer zu seinem Hauptvorbringen grundsätzlich angehört worden. Seine Rüge, der Sachverhalt sei unvollständig festgestellt worden, ist aber dennoch begründet. Wie hiervor ausgeführt, gab die Vorinstanz dem Beschwerdeführer zwar die Gelegenheit sich zur Entführung zu äussern (vgl. A61/14, F50 ff.), unterbrach seine Ausführungen dann jedoch mit der Begründung, ihn zu einem späteren Zeitpunkt in einem weiteren Gespräch dazu detailliert befragen zu wollen (vgl. A61/14, F63, F83). Der Beschwerdeführer durfte demnach in guten Treuen davon ausgehen, er erhalte erneut die Gelegenheit, sich zu seinen Gesuchsgründen zu äussern. Ein Hinweis auf eine weitere Anhörung ist den Akten jedoch nicht zu entnehmen. Ebenso wenig eine Begründung der Vorinstanz, weshalb sie den Beschwerdeführer trotz ausdrücklicher Ankündigung nicht erneut angehört hat, dies, obwohl sie dem Protokoll nach offensichtlich selbst der Ansicht war, die Anhörung vom 5. August 2020 genüge zur vollständigen Sachverhaltsfeststellung nicht. Damit hat sie die Pflicht zur vollständigen Feststellung des rechtserheblichen Sachverhalts respektive seinen Anspruch auf rechtliches Gehör verletzt.</w:t>
      </w:r>
    </w:p>
    <w:p>
      <w:r>
        <w:rPr>
          <w:b/>
        </w:rPr>
        <w:t>E. 4</w:t>
      </w:r>
    </w:p>
    <w:p>
      <w:r>
        <w:t>Nach dem Gesagten ist die Beschwerde insofern gutzuheissen, als die Aufhebung der angefochtenen Verfügung in den Dispositivziffern 1-3 und die Rückweisung an die Vorinstanz beantragt wird, und die Sache ist zur Durchführung einer ergänzenden Anhörung des Beschwerdeführers und zur erneuten Beurteilung an die Vorinstanz zurückzuweisen. Es erübrigt sich demnach, auf die weiteren mit der Beschwerdeschrift geltend gemachten Rügen einzugehen.</w:t>
      </w:r>
    </w:p>
    <w:p>
      <w:r>
        <w:rPr>
          <w:b/>
        </w:rPr>
        <w:t>E. 5</w:t>
      </w:r>
    </w:p>
    <w:p>
      <w:r>
        <w:t>Bei diesem Ausgang des Verfahrens sind keine Kosten zu erheben (Art. 63 Abs. 1 und 2 VwVG).</w:t>
      </w:r>
    </w:p>
    <w:p>
      <w:r>
        <w:rPr>
          <w:b/>
        </w:rPr>
        <w:t>E. 6</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Seitens der Rechtsvertretung wurde keine Kostennote zu den Akten gereicht, weshalb die notwendigen Parteikosten aufgrund der Akten zu bestimmen sind (Art. 14 Abs. 2 in fine VGKE). Gestützt auf die in Betracht zu ziehenden Bemessungsfaktoren (Art. 9-13 VGKE) ist dem Beschwerdeführer zulasten der Vorinstanz eine Parteientschädigung von insgesamt Fr. 500.- zuzusprechen. Die unentgeltliche Rechtsverbeiständung fällt dahin.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