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D-1283/2013 vom 17. Mai 2013</w:t>
      </w:r>
    </w:p>
    <w:p>
      <w:r>
        <w:t>Bundesverwaltungsgericht, 2013-05-17, DE</w:t>
      </w:r>
    </w:p>
    <w:p>
      <w:r>
        <w:rPr>
          <w:b/>
        </w:rPr>
        <w:t xml:space="preserve">Quelle: </w:t>
      </w:r>
      <w:r>
        <w:t>https://mcp.opencaselaw.ch/entscheid/bvger_D-1283_2013</w:t>
      </w:r>
    </w:p>
    <w:p>
      <w:r>
        <w:t>FR: TAF D-1283/2013 du 17 mai 2013</w:t>
      </w:r>
    </w:p>
    <w:p>
      <w:r>
        <w:t>IT: TAF D-1283/2013 del 17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Vorbringen in der Beschwerde vom 11. März 2013 sind nicht geeignet eine Änderung der vorinstanzlichen Verfügung zu bewirken. Der Argumentation der Vorinstanz werden keine stichhaltigen und substanzierten Gründe entgegengesetzt. Eine diesbezügliche Auseinandersetzung unterbleibt zwar nicht gänzlich. Die Ausführungen des Beschwerdeführers vermögen aber die Erwägungen des BFM nicht umzustossen, zumal der Beschwerdeführer im Wesentlichen an der Asylrelevanz seiner Vorbringen beziehungsweise an seiner Befürchtung, bei einer Rückkehr drohten ihm Behelligung durch die Armee wegen sei­ner Tätigkeiten für die LTTE, festhält. Für das Bundesverwaltungsgericht besteht nach dem Studium der Akten keine Veranlassung, die Erwägun­gen des BFM zu beanstanden. Um Wiederholungen zu vermeiden kann auf die zutreffenden Erwägungen in der angefochtenen Verfügung verwie­sen werden.</w:t>
      </w:r>
    </w:p>
    <w:p>
      <w:r>
        <w:rPr>
          <w:b/>
        </w:rPr>
        <w:t>E. 4.2.1</w:t>
      </w:r>
    </w:p>
    <w:p>
      <w:r>
        <w:t>Auch das auf Beschwerdeebene ins Recht gelegte Schreiben (...) vermag zu keiner anderen Betrachtungsweise zu führen. Den Anga­ben des Be­schwerdeführers in seiner Eingabe vom 11. März 2013 zufolge, soll der "Suchbefehl" seit dem Jahr 2006, also bereits drei Jahre vor seiner Aus­reise aus Sri Lanka, bei seiner Familie eingegangen sein. Er hat jedoch weder bei der Befragung noch bei der Anhörung die Vorladung jemals auch nur er­wähnt (vgl. A1/13; A9/16), und es ist nicht einzusehen, wes­halb der Beschwerdeführer das von ihm als "Suchbefehl" titulierte Schrei­ben erst auf Beschwerdeeben zu den Akten reichte. Des Weiteren ist die Authentizität des mit Eingabe vom 28. März 2013 (Poststempel) nachge­reichten "Originals" zu bezweifeln, zumal es allzu sehr den Eindruck einer Fotokopie mit handschriftlichen Eintragungen er­weckt.</w:t>
      </w:r>
    </w:p>
    <w:p>
      <w:r>
        <w:rPr>
          <w:b/>
        </w:rPr>
        <w:t>E. 4.2.2</w:t>
      </w:r>
    </w:p>
    <w:p>
      <w:r>
        <w:t>Die Frage ob es sich bei dem ins Rechte gelegten "Original" tatsächlich um ein authentisches Dokument handelt, kann jedoch ange­sichts des Inhalts der Mitteilung offen bleiben. Der englischen Überset­zung zufolge ist nämlich der Vorladungsgrund sehr pauschal angegeben ("provision for an investigation"). Ausserdem weist der im Schreiben zi­tierte Artikel 172 des sri-lankischen Strafgesetzbuches "section 172 of chapter 05 of the P.A. [Ceylon Penal Code])", welcher inhaltlich die Miss­achtung behördlicher Anordnungen ahndet, keinen konkreten Anhalts­punkt für einen allfälligen asylbeachtlichen Hintergrund oder ein flüchtlingsrelevantes Motiv für die Vorladung auf (vgl. statt vieler Urteil des Bundesverwaltungsgerichts E 6220/2006 vom 27. Oktober 2011 E. 9.2 S. 32).</w:t>
      </w:r>
    </w:p>
    <w:p>
      <w:r>
        <w:rPr>
          <w:b/>
        </w:rPr>
        <w:t>E. 4.2.3</w:t>
      </w:r>
    </w:p>
    <w:p>
      <w:r>
        <w:t>Das nachgereichte Schreiben lässt somit keine konkreten Rück­schlüsse auf eine irgendwie geartete asylbeachtliche Verfolgungssituation zu.</w:t>
      </w:r>
    </w:p>
    <w:p>
      <w:r>
        <w:rPr>
          <w:b/>
        </w:rPr>
        <w:t>E. 4.3</w:t>
      </w:r>
    </w:p>
    <w:p>
      <w:r>
        <w:t>Bei dieser Sachlage wird auf die weiteren Ausführungen in der Be­schwerde sowie auf die auf Beschwerdeebene ins Rechte gelegten Zei­tungsartikel nicht mehr eingegangen, da sie am Ergebnis der vorgenomme­nen Würdigung nichts zu ändern vermögen, zumal letztere den Angaben des Beschwerdeführers zufolge lediglich schildern, dass im Jahr 2009 vier aus einem Camp der LTTE geflohene Personen von der Marine aufgegriffen worden sind. Unter diesen Umständen ist somit festzustellen, dass der Beschwerdeführer einen flüchtlingsrechtlich bedeutsamen Sachverhalt weder nachgewiesen noch glaubhaft gemacht hat. Dies Feststellung des BFM, der Beschwerdeführer erfülle die Flücht­lingseigenschaft gemäss Art. 3 AsylG nicht, ist dementsprechend zu bestätigen. Das BFM hat das Asylgesuch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nichts, weshalb es sich erübrigt, weiter dar­auf einzugehen.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Gemäss allgemein zugänglichen Quellen ist heute im Heimatstaat des Beschwerdeführers von einer seit Ende des bewaffneten Konflikts zwischen der sri-lankischen Armee und den LTTE im Mai 2009 erheblich verbesserten Menschenrechts- und Sicherheitslage auszugehen, auch wenn sich das Land noch in einem Entwicklungsprozess befindet (vgl. BVGE 2011/24 E. 12 S. 509).</w:t>
      </w:r>
    </w:p>
    <w:p>
      <w:r>
        <w:rPr>
          <w:b/>
        </w:rPr>
        <w:t>E. 6.5.3</w:t>
      </w:r>
    </w:p>
    <w:p>
      <w:r>
        <w:t>Im Distrikt Jaffna und in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6.5.4</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Gemäss den Akten wohnte er seit seiner Geburt bis zum 15. Juli 2006 in B._______ (Jaffna-Distrikt, ausserhalb des Vanni-Gebietes), wo er acht Jahre lang die Schule besuchte. Im Jahr 1996 verliess er die Schule ohne Abschluss und half danach seinem Vater auf dem Feld (vgl. Akten der Vorinstanz A1/13 S. 3 f.). Seine Eltern hätten Felder besessen, auf denen sie Tabak und Bananen gepflanzt hätten. Insgesamt hätten sie 5000 Bananenbäume besessen (vgl. A1/13 S. 3). Ihm habe ein Traktor gehört, den er zum Teil für diese Felde benutzt habe und mit dem er auch manch­mal für andere Leute gegen Entgelt Landwirtschaftprodukte transportiert habe. Seine Eltern und eine verheiratete Schwester würden noch immer in B._______ wohnen. Ein Bruder lebe mit seiner Familie in G._______ (vgl. A1/13 S. 4 f.). Eine Schwester lebe mit ihrer Familie in England und eine in der Schweiz (vgl. A1/13 S. 5). Unter diesen Umständen ist davon auszugehen, dass der Beschwerdeführer in B._______ über ein tragfähiges soziales Netz verfügt. Der Beschwerdeführer fand im landwirtschaftlichen Betrieb seiner Eltern sowie durch Fahrten mit seinem Traktor ein Auskom­men. Folglich wird er in der Lage sein, sich in der Heimat wirtschaftlich wieder zu integrieren. Bei der Reintegration wird er im Bedarfsfall auf die (finanzielle) Unterstützung seiner nahen Verwandten zählen können, die in Sri Lanka, in der Schweiz und in England leben. In diesem Zusammen­hang ist auch auf die Unterstützung seines Schwagers hinzuweisen, wel­cher die Ausreise des Beschwerdeführers organisiert und finanziert hat (vgl. A1/13 S. 9 f.). Die Rückkehrhilfe der Schweiz wird ihm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Somit ist nicht anzunehmen, dass er bei einer Rück­kehr in ihren Heimatstaat in eine existenzielle Notlage geraten wird. Der Vollzug der Wegweisung erweist sich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gemäss Art. 65 Abs. 1 VwVG ist abzuweisen, da die Beschwerde aufgrund der vorstehenden Erwägungen als aussichtslos erscheint.</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