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D-1283/2011 vom 20. Mai 2011</w:t>
      </w:r>
    </w:p>
    <w:p>
      <w:r>
        <w:t>Bundesverwaltungsgericht, 2011-05-20, DE</w:t>
      </w:r>
    </w:p>
    <w:p>
      <w:r>
        <w:rPr>
          <w:b/>
        </w:rPr>
        <w:t xml:space="preserve">Quelle: </w:t>
      </w:r>
      <w:r>
        <w:t>https://mcp.opencaselaw.ch/entscheid/bvger_D-1283_2011</w:t>
      </w:r>
    </w:p>
    <w:p>
      <w:r>
        <w:t>FR: TAF D-1283/2011 du 20 mai 2011</w:t>
      </w:r>
    </w:p>
    <w:p>
      <w:r>
        <w:t>IT: TAF D-1283/2011 del 20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beantragt in ihrer Rechtsmitteleingabe vom 23. Februar 2011 in der Hauptsache, es sei die Angelegenheit zur Ergänzung des Sachverhalts an die Vorinstanz zurückzuweisen. Den Akten lassen sich jedoch keine konkreten Anhaltspunkte für eine unvollständige oder falsch festgestellte Sachverhaltsgrundlage entnehmen. Die Anhörung der Beschwerdeführerin zu ihren Asylgründen vom 13. Januar 2011 durch das BFM wurde von einem reinen Frauenteam durchgeführt. Dem Protokoll der Anhörung ist ein korrektes und einfühlsames Verhalten der Anhörungsleitung zu entnehmen. Hingegen sind diesem keinerlei Hinweise auf die von der Hilfswerkvertretung erwähnten gesundheitlichen Beeinträchtigungen zu entnehmen (vgl. A10/14). Die durch einen patentierten Rechtsanwalt vertretene Beschwerdeführerin reichte ohne Begründung weder ein Arztzeugnis noch die verlangte Entbindungserklärung zu den Akten (vgl. vorstehend E.c). Wie das BFM in der angefochtenen Verfügung zu Recht festgestellt haben dürfte, hat die Beschwerdeführerin nicht nur bei der Schilderung der angeblichen sexuellen Handlungen, sondern bei praktisch jedem Aspekt der angeblichen Beziehung zu ihrem Freund völlig unsubstanziierte Aussagen zu Protokoll gegeben, was offensichtlich nicht allein auf ihre sozio-kulturelle Herkunft zurückzuführen ist. Folglich ist der Hauptantrag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teilt die Auffassung des BFM wonach die Vorbringen der Beschwerdeführerin aufgrund der wenig begründeten Darstellung der Ereignisse nicht geglaubt werden kann. Nicht nur die Beschreibung ihres Freundes, sondern auch diejenige des intimen Zusammenseins sowie die Darstellung ihrer Angst vor einer Zwangsverheiratung und der damit verbundenden Angst der Enthüllung ihrer verlorenen Jungfräulichkeit wirkt plakativ. Die entsprechenden Schilderungen erscheinen rudimentär und abstrakt und könnten in dieser Form ohne weiteres von irgendjemanden nacherzählt werden. Auch wenn sich Frauen aufgrund ihres kulturellen Hintergrundes und ihrer persönlichen Erfahrungen nicht gewöhnt sind, über intime Ereignisse zu sprechen, sind sie doch erfahrungsgemäss zu einer differenzierten und anschaulichen Darstellung ihrer inneren Befindlichkeiten im Stande, die zumindest von einer subjektiven Sichtweise geprägt ist. Die entsprechenden Ausführungen der Beschwerdeführerin lassen jedoch jegliche persönlich gefärbte Betroffenheit vermissen. Auffallend in diesem Zusammenhang ist vor allem, dass die Beschwerdeführerin überhaupt keine Angaben dazu machen konnte, wie es zu diesem Stelldichein am 15. August 2010 gekommen sein soll und wieso sie dem Drängen ihres Freundes nachgegeben haben will, im Wissen um die Probleme, die ihr bei einer Entdeckung drohen könnten. Die diesbezüglich zutreffenden Erwägungen in der angefochtenen Verfügung können die anderslautenden Ausführungen in der Beschwerdeschrift nicht umstossen. Zur Vermeidung von Wiederholungen wird an dieser Stelle auf die zutreffenden Ausführungen in der angefochtenen Verfügung verwiesen, denen sich das Bundesverwaltungsgericht vollumfänglich anschliesst. Zudem wäre - bei Wahrunterstellung der Vorbringen - eine asylrechtlich relevante Verfolgung zu verneinen, da sich die Beschwerdeführerin gar nicht um staatlichen Schutz bemüht hat beziehungsweise nicht dargetan hat, dass ein solcher ausgeblieben wäre.</w:t>
      </w:r>
    </w:p>
    <w:p>
      <w:r>
        <w:rPr>
          <w:b/>
        </w:rPr>
        <w:t>E. 5.2</w:t>
      </w:r>
    </w:p>
    <w:p>
      <w:r>
        <w:t>Bei dieser Sachlage erübrigt es sich, auf die weiteren Ausführungen in der Beschwerde im Einzelnen einzugehen, da diese nicht geeignet sind, zu einer anderen rechtlichen Würdigung der Aktenlage zu führen. Unter diesem Umständen ist somit festzuhalten, dass die Beschwerdeführerin einen flüchtlingsrechtlich bedeutsamen Sachverhalt weder nachgewiesen noch glaubhaft gemacht hat. Die Feststellung des BFM, der Beschwerdeführer erfülle die Flüchtlingseigenschaft nicht, ist dementsprechend zu bestätigen. Das BFM hat das Asylgesuch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Irak ist demnach unter dem Aspekt von Art. 5 AsylG rechtmässig. Sodann ergeben sich weder aus den Aussagen der Beschwerdeführerin noch aus den Akten Anhaltspunkte dafür, dass sie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Irak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ist im Grundsatzurteil vom 14. März 2008 (BVGE 2008/5) aufgrund einer umfassenden Beurteilung der Situation in den nordirakischen Provinzen Dohuk, Suleymania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Männer, die ursprünglich aus den Provinzen Dohuk, Suleymaniya oder Erbil stammen und dort nach wie vor über ein soziales Netz oder Parteibeziehung verfügen, in der Regel zumutbar ist. Für alleinstehende Frauen und für Familien mit Kindern sowie für Kranke und Betagte, ist dagegen bei der Feststellung der Zumutbarkeit des Wegweisungsvollzugs grosse Zurückhaltung angebracht (a.a.O. E.7.5 und insbesondere E.7.5.8). Der Vollzug von Wegweisungen von jungen Frauen in den Nordirak kann somit dann als zumutbar qualifiziert werden, wenn den Akten besonders begünstigende Reintegrationsfaktoren zu entnehmen sind.</w:t>
      </w:r>
    </w:p>
    <w:p>
      <w:r>
        <w:rPr>
          <w:b/>
        </w:rPr>
        <w:t>E. 7.5</w:t>
      </w:r>
    </w:p>
    <w:p>
      <w:r>
        <w:t>Die heute 24-jährige, der Ethnie der Kurden angehörende, und - soweit aktenkundig - gesunde Beschwerdeführerin stammt aus C._______, wo sie seit ihrer Kindheit im Quartier D._______ gelebt hat. Ihren eigenen Angaben zufolge leben im gleichen Haushalt in C._______ ihre Eltern, drei ihrer Brüder und zwei Schwestern (vgl. A1/9 S. 3). Eine ältere verheiratete Schwester lebt ebenfalls in C._______, aber in einem eigenen Haushalt (vgl. a.a.O.). Die Beschwerdeführerin verfügt demnach dort über ein Familiennetz und kann daher zu ihren Eltern und Geschwistern zurückkehren, mit denen sie bis zu ihrer Ausreise aus der Heimat zusammenlebte, weshalb ihre Wohnsituation als gesichert gelten kann. Eigenen Angaben zufolge hat ihr ein Onkel die Ausreise aus dem Irak und ihre Eltern haben ihre gymnasiale Ausbildung, welche sie mit ihrer Ausreise abgebrochen habe, finanziert. Es ist somit davon auszugehen, dass die auch die weitere Ausbildung der Beschwerdeführerin finanzieren werden und ihr gegebenenfalls weitere Verwandte finanzielle Unterstützung zukommen lassen. Folglich sind auch keine individuellen Wegweisungshindernisse ersichtlich, die den Vollzug der Wegweisung als unzumutbar erscheinen lassen. Vielmehr ist an dieser Stelle festzuhalten, dass im vorliegenden Fall besonders begünstigende Reintegrationsfaktoren vorliegen.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16. März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