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D-1276/2013 vom 24. Juni 2013</w:t>
      </w:r>
    </w:p>
    <w:p>
      <w:r>
        <w:t>Bundesverwaltungsgericht, 2013-06-24, DE</w:t>
      </w:r>
    </w:p>
    <w:p>
      <w:r>
        <w:rPr>
          <w:b/>
        </w:rPr>
        <w:t xml:space="preserve">Quelle: </w:t>
      </w:r>
      <w:r>
        <w:t>https://mcp.opencaselaw.ch/entscheid/bvger_D-1276_2013</w:t>
      </w:r>
    </w:p>
    <w:p>
      <w:r>
        <w:t>FR: TAF D-1276/2013 du 24 juin 2013</w:t>
      </w:r>
    </w:p>
    <w:p>
      <w:r>
        <w:t>IT: TAF D-1276/2013 del 24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geltend, wegen seines Engagements für die BDP durch die Behörden behelligt worden zu sein. Diese Verfol­gung ist in der geltend gemachten Form jedoch nicht glaubhaft. Zwar mag im Sinne der Beschwerdevorbringen zutreffen, dass amtliche Belege für Kurzfestnahmen den Betroffenen unter Umständen nicht ausgehändigt wer­den. Entscheiden­der ist aber die Tatsache, dass er die Anzahl der Festnahmen ungereimt zu Protokoll gab und mangels ersichtlicher Realkennzeichen beziehungs­weise angemessener Substanziierung nicht den Eindruck, das Vorge­brachte tatsächlich so erlebt zu haben, zu vermitteln vermochte. Das Be­schwerdevorbringen, er habe die Anzahl der Festnahmen lediglich präzisie­ren wollen, ändert nichts an der Tatsache, dass die vage Beziffe­rung der Verhaftungen deren Glaubhaftigkeit abträglich ist. Zudem gab er den Zeitpunkt der letzten Festnahme - Anfang respektive Ende 2011 - nicht übereinstimmend an, was die Glaubhaftigkeit zusätzlich beeinträch­tigt (A 6/11 S. 7; A 11/18 Antwort 71). Anhaltspunkte für allfällige Verständi­gungsprobleme können den Protokollen nicht entnommen wer­den (vgl. A 6/11 S. 1 und 8; A 11/18 Antwort 1). Ferner sagte er bei der Summarbefragung aus, es seien jeweils alle Kollegen festgenommen wor­den. Demgegenüber vermittelte er bei der Anhörung den Eindruck, er sei bei den Festnahmen eher zielgerichtet abgeführt worden (A 11/18 Ant­worten 78 ff. und 100 ff.). Auffallend ist ferner, dass er vorerst angab, bei den drei Festnahmen der Jahre 2008, 2010 und 2011 Folter erlitten zu ha­ben. Später brachte er indes vor, bei der Festnahme des Jahres 2011 nicht gefoltert worden zu sein (A 11/18 Antworten 110 und 126 ff.). Zudem weisen seine Schilderungen auch in diesem Punkt kaum Substanz auf, was in Anbetracht der Aktenlage nicht mit einer allfälligen Traumatisierung in Verbindung gebracht werden kann.</w:t>
      </w:r>
    </w:p>
    <w:p>
      <w:r>
        <w:rPr>
          <w:b/>
        </w:rPr>
        <w:t>E. 4.2</w:t>
      </w:r>
    </w:p>
    <w:p>
      <w:r>
        <w:t>Es ist zwar davon auszugehen, dass unter Umständen auch ein beschei­denes BDP-Profil zu staatlicher Verfolgung in der Türkei führen kann. Entsprechend könnte auch der Beschwerdeführer als einfaches Mit­glied in den Fokus der Behörden geraten. Eine solche Situation ver­mochte er für den Zeitraum vor der Ausreise gemäss obenstehenden Erwä­gungen jedoch nicht glaubhaft zu machen. Konkrete Anhaltspunkte, dass er nach der Wiedereinreise asylrelevant verfolgt würde, sind seinem Persönlichkeitsprofil nicht zu entnehmen. So legte er dar, über ihn be­stehe kein Datenblatt; es sei auch keine Anklage beziehungsweise kein Ge­richtsverfahren wegen der angeblichen Festnahmen gegen ihn hängig (A 6/11 S. 7; A 11/18 Antwort 112). Allein die blosse Möglichkeit, als BDP-Mitglied belangt zu werden, ist nicht als begründete Furcht zu werten. Im Sinne der BFM-Erwägungen ist anzufügen, dass allfälligen Kurzfestnah­men wegen der Teilnahme an Massenanlässen in der Regel keine Asylrele­vanz zukommt.</w:t>
      </w:r>
    </w:p>
    <w:p>
      <w:r>
        <w:rPr>
          <w:b/>
        </w:rPr>
        <w:t>E. 4.3</w:t>
      </w:r>
    </w:p>
    <w:p>
      <w:r>
        <w:t>Im Weiteren macht der Beschwerdeführer geltend, sein Bruder D._______ habe in der Schweiz Asyl erhalten. Zudem lebten zwei Schwestern als Flüchtlinge in der Schweiz. Im Falle der Rückkehr habe er eine Reflexverfol­gung zu gewärtigen. Diese Einschätzung überzeugt nicht. So machte er im Rahmen der Anhörung nicht geltend, auch wegen seines Bru­ders im Fokus der Behörden gestanden zu haben. Dieser Bruder ist be­reits im Juni 2001 in die Schweiz gereist und erhielt 2004 Asyl. Unbese­hen der Frage, ob gegen ihn in der Türkei noch ein Verfahren hän­gig ist, muss aufgrund des Zeitablaufs nicht davon ausgegangen wer­den, dass der Be­schwerdeführer wegen D._______ beziehungsweise seiner mut­masslichen Kontakte zu ihm im Falle der Rückkehr asylrelevant belangt wird. Dies umso weniger, als er in der Replik darlegte, die eine der Schwes­tern - G._______ - habe auf ihren Flüchtlingsstatus verzichtet und besitze wieder einen türkischen Reisepass. Besagte Schwester habe ihm aus der Türkei ein Beweismittel mitgebracht. Eine reflexverfolgungsmässige Gefähr­dung für Angehörige von D._______ erscheint mithin als nicht beachtlich wahrscheinlich, und die beantragten Abklärungen vor Ort erübrigen sich. Schliesslich ist entgegen den Rekursvorbringen auch nicht davon auszuge­hen, dass der Beschwerdeführer wegen seines Beitritts zum kurdi­schen Verein F._______ in der Schweiz ein im Rahmen subjektiver Nach­fluchtgründe relevantes politisches Profil aufweist, zumal er keine ex­ponierte Stellung geltend macht.</w:t>
      </w:r>
    </w:p>
    <w:p>
      <w:r>
        <w:rPr>
          <w:b/>
        </w:rPr>
        <w:t>E. 4.4</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der Eingabe mangels Stichhaltig­keit nichts zu ändern. Auch die Beweismittel, welche sich auf unbestrit­tene Sachverhaltselemente beziehen, rechtfertigen keine andere Einschätzung.</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E-2560/2011 vom 15. März 2013).</w:t>
      </w:r>
    </w:p>
    <w:p>
      <w:r>
        <w:rPr>
          <w:b/>
        </w:rPr>
        <w:t>E. 6.5.2</w:t>
      </w:r>
    </w:p>
    <w:p>
      <w:r>
        <w:t>Der Beschwerdeführer stammt aus B._______, lebte aber seit 1993 in C._______. Dort bestehen familiäre Anknüpfungspunkte. Er verfügt über Schul­bildung und Arbeitserfahrung. Auch zwei ältere Brüder sollen in der Türkei erwerbstätig sein. Ein gewisser finanzieller Rückhalt der Familie scheint zu bestehen (A 11/18 Antworten 146 f.). Es ist entsprechend nicht davon aus­zugehen, dass er nach seiner Rückkehr in die Türkei dort in eine exis­tenz­gefährdende Situation gerät.</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Nachdem sein Ge­such im Sinne von Art. 65 Abs. 1 VwVG mit Zwischenverfügung vom 14. März 2013 gutgeheissen wurde und sich seine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