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D-1276/2011 vom 9. August 2011</w:t>
      </w:r>
    </w:p>
    <w:p>
      <w:r>
        <w:t>Bundesverwaltungsgericht, 2011-08-09, DE</w:t>
      </w:r>
    </w:p>
    <w:p>
      <w:r>
        <w:rPr>
          <w:b/>
        </w:rPr>
        <w:t xml:space="preserve">Quelle: </w:t>
      </w:r>
      <w:r>
        <w:t>https://mcp.opencaselaw.ch/entscheid/bvger_D-1276_2011</w:t>
      </w:r>
    </w:p>
    <w:p>
      <w:r>
        <w:t>FR: TAF D-1276/2011 du 9 août 2011</w:t>
      </w:r>
    </w:p>
    <w:p>
      <w:r>
        <w:t>IT: TAF D-1276/2011 del 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ihres ablehnenden Asylentscheides im Wesentlichen fest, hinsichtlich der geltend gemachten Vorkommnisse sei anzuführen, dass es in Kosovo in den vergangenen Jahren vereinzelt zu schwerwiegenden Übergriffen auf Angehörige der ethnischen Minderheiten, namentlich der Goraner, gekommen sei. Es könne jedoch nicht von allgemeinen Vertreibungen ausgegangen werden. Nach der Unabhängigkeitserklärung vom 17. Februar 2008 sei in Kosovo auch nach dem Statuswechsel eine internationale zivile und militärische Präsenz vorgesehen. In Kosovo bestünden mit der UNO-Verwal-tung (UNMIK) und der EU zwei internationale Missionen. Die am 9. Dezember 2008 offiziell gestartete Rechtsstaatlichkeitsmission EULEX sei formal den Vereinten Nationen unterstellt und werde unter deren Oberhoheit und innerhalb eines statusneutralen Rahmens geführt. Die internationalen Sicherheitskräfte sowie die Kosovo Police (KP) würden die Sicherheit garantieren und seien weitgehend in der Lage, die ethnischen Minderheiten in Kosovo zu schützen. Bei Übergriffen intervenierten die Sicherheitskräfte regelmässig, und bei Straftaten gegen Angehörige von Minderheiten würden Ermittlungen aufgenommen. Zentrale Polizeifunktionen würden weiterhin von internationalen Polizeikräften wahrgenommen und die neue kosovarische Verfassung gestehe den Minderheiten umfassende Rechte zu. Dementsprechend sei die Polizei auch immer gekommen, wenn der Beschwerdeführer oder sein Vater sie hinzugezogen habe. Sie habe angemessen agiert, indem sie beispielsweise ein Protokoll über die Vorfälle oder Fotos von den Beschädigungen aufgenommen habe. Die Polizei habe im Jahre (...) den Angreifer auf den Polizeiposten gebracht und ihm eine Geldstrafe erteilt. Somit gebe es keine Hinweise auf eine Verweigerung staatlichen Schutzes. Ausserdem seien Angehörige der Goraner proportional in sämtlichen wichtigen Behörden vertreten, mitunter auch in den Polizeibehörden. Folglich könne den kosovarischen Behörden auch nicht mangelnder Schutzwille und fehlende Schutzfähigkeit vorgeworfen werden. Da demnach vom Vorhandensein eines adäquaten Schutzes durch den Heimatstaat auszugehen sei, seien die geltend gemachten Übergriffe vorliegend nicht asylrelevant. Diese würden keine Intensität erreichen, welche dem Beschwerdeführer ein menschenwürdiges Leben in Kosovo verunmöglichten oder in unzumutbarer Weise erschwerten.</w:t>
      </w:r>
    </w:p>
    <w:p>
      <w:r>
        <w:rPr>
          <w:b/>
        </w:rPr>
        <w:t>E. 3.2</w:t>
      </w:r>
    </w:p>
    <w:p>
      <w:r>
        <w:t>Demgegenüber wendete der Beschwerdeführer in seiner Rechtsmitteleingabe - soweit nicht eine Wiederholung des Sachverhalts enthaltend - im Wesentlichen ein, der kosovarische Staat werde von Drogen- und Organhändlern geführt, was aus neuen von der EU in Auftrag gegebenen Untersuchungen hervorgehe. In Kosovo herrsche weder Frieden noch bestehe eine Ordnung. Vielmehr sei die politische und polizeiliche Führung von verschiedenen Clanmitgliedern besetzt und die Bevölkerung kaum geschützt. Die UNMIK und die EULEX würden in Kosovo nur eine sporadische Rolle spielen und dienten vor allem dazu, einen neuen Krieg zwischen Serbien und Kosovo zu verhindern. Für weitere Details werde auf die Ausführungen der Beschwerdeschrift im Verfahren seiner Eltern (N_______; Geschäfts-Nr. D-1278/2011) verwiesen.</w:t>
      </w:r>
    </w:p>
    <w:p>
      <w:r>
        <w:rPr>
          <w:b/>
        </w:rPr>
        <w:t>E. 3.3</w:t>
      </w:r>
    </w:p>
    <w:p>
      <w:r>
        <w:t>Das Bundesverwaltungsgericht gelangt nach Prüfung der Akten zum Schluss, dass das BFM die Vorbringen des Beschwerdeführers im Zu-sammenhang mit den angeführten Übergriffen seitens privater Dritter zu Recht und mit zutreffender Begründung als nicht asylrelevant erachtete.</w:t>
      </w:r>
    </w:p>
    <w:p>
      <w:r>
        <w:rPr>
          <w:b/>
        </w:rPr>
        <w:t>E. 3.3.1</w:t>
      </w:r>
    </w:p>
    <w:p>
      <w:r>
        <w:t>Nach den Erkenntnissen des Bundesverwaltungsgerichts sind die bisher zuständigen Behörden in Kosovo - im Rahmen ihrer Möglichkeiten - systematisch gegen Bedrohungen und Übergriffe Dritter vorgegangen. Insoweit kann zum heutigen Zeitpunkt vom Schutzwillen und auch von einer weitgehenden Schutzfähigkeit der in Kosovo tätigen nationalen Sicherheitsbehörden ausgegangen werden.</w:t>
      </w:r>
    </w:p>
    <w:p>
      <w:r>
        <w:rPr>
          <w:b/>
        </w:rPr>
        <w:t>E. 3.3.2</w:t>
      </w:r>
    </w:p>
    <w:p>
      <w:r>
        <w:t>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 Was die allgemeine Situation der Angehörigen der goranischen Ethnie in Kosovo betrifft, ist festzustellen, dass sie als gut integrierte Minderheit selbst während der Unruhen im März 2004 grösstenteils verschont blieben und gemäss Lageberichten für sie die Situation auch nach den Unruhen weitgehend stabil geblieben ist.</w:t>
      </w:r>
    </w:p>
    <w:p>
      <w:r>
        <w:rPr>
          <w:b/>
        </w:rPr>
        <w:t>E. 3.3.3</w:t>
      </w:r>
    </w:p>
    <w:p>
      <w:r>
        <w:t>Das Bundesverwaltungsgericht geht davon aus, dass Angehörige ethnischer Minderheiten grundsätzlich die Möglichkeit haben, sich an die Behörden zu wenden und diese um Schutz vor Übergriffen Dritter zu ersuchen. Zudem bejaht das Bundesverwaltungsgericht in seiner Rechtsprechung den generellen Schutzwillen und die generelle Schutzfähigkeit der zuständigen Sicherheitskräfte bezüglich strafrechtlich relevanter Übergriffe auf Angehörige der ethnischen Minderheiten in Kosovo (vgl. zur Publikation vorgesehenes Urteil BVGE D-6827/2010 vom 2. Mai 2011 E. 4.7).</w:t>
      </w:r>
    </w:p>
    <w:p>
      <w:r>
        <w:rPr>
          <w:b/>
        </w:rPr>
        <w:t>E. 3.3.4</w:t>
      </w:r>
    </w:p>
    <w:p>
      <w:r>
        <w:t>Das BFM führte zur Begründung seines ablehnenden Asylentscheides zu Recht aus, die Vorbringen des Beschwerdeführers hielten den Anforderungen an Art. 3 AsylG nicht stand, da Übergriffe durch Dritte oder Befürchtungen, künftig solchen ausgesetzt zu sein, nur dann asylrelevant seien, wenn der Staat seiner Schutzpflicht nicht nachkomme oder nicht in der Lage sei, Schutz zu gewähren. Straftaten würden von den Behörden in Kosovo im Rahmen ihrer Möglichkeiten verfolgt. Bei den geltend gemachten Bedrohungen durch Angehörige der albanischen Ethnie handelt es sich um Übergriffe Dritter. Solche Übergriffe seitens ethnischer Albaner auf den Beschwerdeführer sind nicht asylrelevant, da ihm die Möglichkeit offenstand, sich an die heimatlichen Behörden zu wenden und diese um Schutz zu ersuchen. Vorliegend sind keine Hinweise dafür erkennbar, dass ihm staatlicher Schutz verweigert worden wäre; vielmehr sei die Polizei den Akten zufolge jeweils aktiv geworden, nachdem man sie verständigt gehabt habe. Aufgrund der Aktenlage ist nicht auch nur annähernd hinreichend dargelegt, dass der kosovarische Staat dem Beschwerdeführer oder anderen Familienangehörigen adäquaten Schutz verweigert hätte oder in Zukunft verweigern würde.</w:t>
      </w:r>
    </w:p>
    <w:p>
      <w:r>
        <w:rPr>
          <w:b/>
        </w:rPr>
        <w:t>E. 3.4</w:t>
      </w:r>
    </w:p>
    <w:p>
      <w:r>
        <w:t>Zusammenfassend ergibt sich, dass die Vorbringen des Beschwerde-führers den Anforderungen an die Flüchtlingseigenschaft nicht genügen; die entsprechende Feststellung des BFM ist zu bestätigen. Es kann darauf verzichtet werden, auf die Darlegungen in der Beschwerdeschrift weitergehend einzugehen, da sie an obiger Erkenntnis nichts zu ändern vermögen. Die Vorinstanz hat das Asylgesuch des Beschwerdeführers zu Recht und mit zutreffender Begründung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BVGE 2009/50 E. 9 S. 733, BVGE 2008/34 E. 9.2 S. 510,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der Beschwerdeführer keine asylrechtlich erhebliche Gefährdung nachzuweisen oder glaubhaft zu machen vermag, kann das in Art. 5 AsylG verankerte Prinzip des flüchtlingsrechtlichen Non-Refoulements im vorliegenden Verfahren keine Anwendung finden. Eine Rückkehr des Beschwerdeführers nach Kosovo ist demnach unter dem Aspekt von Art. 5 AsylG rechtmässig. Sodann er-geben sich aus den Akten keine hinreichenden Anhaltspunkte dafür, dass er für den Fall einer Ausschaffung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aus der allgemeinen Menschenrechtssituation in Kosovo oder aus der Tatsache, dass dort Angehörige ethnischer Minderheiten in verschiedener Hinsicht Diskriminierungen - so auch von Seiten privater Dritter - ausgesetzt sind, lässt sich noch kein reales Risiko von Folter oder unmenschlicher oder erniedrigender Strafe oder Behandlung herleiten.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5.4.2</w:t>
      </w:r>
    </w:p>
    <w:p>
      <w:r>
        <w:t>Die Vorinstanz hielt in der angefochtenen Verfügung fest, dass weder die im Heimatstaat herrschende politische Situation noch andere Gründe gegen die Zumutbarkeit der Rückführung nach Kosovo sprechen würden. Die Sicherheitslage habe sich in den vergangenen Jahren verbessert oder zumindest stabilisiert und die Wahrscheinlichkeit einer konkreten Gefährdung für Bosniaken, Torbes und Gorani alleine aufgrund der Ethnie könne weitgehend ausgeschlossen werden. Zudem sei für diese Ethnien die Bewegungsfreiheit grundsätzlich in ganz Kosovo gegeben. Auch der Zugang zu den medizinischen und sozialen Strukturen sei in aller Regel gewährleistet. Zudem gebe es auch keine individuellen Gründe, die gegen die Zumutbarkeit eines Wegweisungsvollzugs sprechen würden. Der junge und gesunde Beschwerdeführer besitze eine gute Schulbildung, sei im familieneigenen Imbissladen tätig gewesen und verfüge in Kosovo über ein familiäres Beziehungsnetz. Zudem habe er die finanzielle Lage der Familie als sehr gut bezeichnet.</w:t>
      </w:r>
    </w:p>
    <w:p>
      <w:r>
        <w:rPr>
          <w:b/>
        </w:rPr>
        <w:t>E. 5.4.3</w:t>
      </w:r>
    </w:p>
    <w:p>
      <w:r>
        <w:t>In der Beschwerdeschrift führt der Beschwerdeführer zur Zumutbarkeit des Wegweisungsvollzugs sinngemäss aus, dass er als Angehöriger einer ethnischen Minderheit in Kosovo kein menschenwürdiges Leben führen könne.</w:t>
      </w:r>
    </w:p>
    <w:p>
      <w:r>
        <w:rPr>
          <w:b/>
        </w:rPr>
        <w:t>E. 5.4.4</w:t>
      </w:r>
    </w:p>
    <w:p>
      <w:r>
        <w:t>In Kosovo herrscht im jetzigen Zeitpunkt nicht eine generell unsi-chere, von bewaffneten Konflikten oder jederzeit drohenden Unruhen ge-prägte Lage, aufgrund derer der Beschwerdeführer bei einer Rückkehr unweigerlich einer konkreten Gefährdung ausgesetzt würde. Blosse sozi-ale und wirtschaftliche Schwierigkeiten, von denen weite Teile der ansäs-sigen Bevölkerung betroffen sind, genügen nicht, um eine Gefährdung im Sinne von Art. 83 Abs. 4 AuG darzustellen (vgl. BVGE 2010/41 E. 8.3.6 S. 591, EMARK 2005 Nr. 24 E. 10.1 S. 215). Der Beschwerdeführer gehört der Minderheit der slawischen Muslime und innerhalb dieser der Untergruppe der Gorani an. Was die allgemeine Lage der slawischen Muslime betrifft, so wurde ihnen im Vergleich zu den Angehörigen der Ethnien der Roma, Ashkali und "Ägypter" (vgl. BVGE 2007/10 mit weiteren Hinweisen) sowie den Kosovo-Serben schon immer eine höhere Toleranz entgegengebracht. Im Zusammenhang mit der Beurteilung der Vollziehbarkeit einer Wegweisung äusserte sich die ARK bereits in EMARK 2002 Nr. 22 zur Situation der slawischen Muslime in Ko-sovo. Gemäss aktueller Rechtsprechung ist ein Wegweisungsvollzug der slawischen Muslime, so insbesondere der Gorani, in sämtliche Gebiete von Kosovo - mit Ausnahme der Region von Mitrovica - als zumutbar zu erachten (vgl. zur Publikation vorgesehenes Urteil BVGE D-6827/2010 vom 2. Mai 2011 E. 8.6). Dem BFM ist darin zuzustimmen, dass die Wahrscheinlichkeit einer konkreten Gefährdung für Angehörige der Gorani alleine aufgrund ihrer Ethnie weitgehend ausgeschlossen werden kann. Zudem ist für diese Ethnie die Bewegungsfreiheit in Kosovo grundsätzlich gegeben. Auch ihr Zugang zu den medizinischen und sozialen Strukturen ist in aller Regel gewährleistet (vgl. Urteil des Bundesverwaltungsgerichts E-7846/2008 vom 15. September 2010 E. 9.6.). Das Gericht verkennt nicht, dass die Reintegration in Kosovo insbesondere für Minderheiten schwierig sein kann. Dieser Umstand vermag jedoch keine konkrete Gefährdung derselben zu begründen.</w:t>
      </w:r>
    </w:p>
    <w:p>
      <w:r>
        <w:rPr>
          <w:b/>
        </w:rPr>
        <w:t>E. 5.4.5</w:t>
      </w:r>
    </w:p>
    <w:p>
      <w:r>
        <w:t>In Bezug auf die individuelle Zumutbarkeit des Wegweisungsvoll-zuges sind folgende Aspekte zu beachten: Der Beschwerdeführer verfügt den Akten zufolge über einen Mittelschulabschluss, besuchte die Universität während eines Semesters und arbeitete im familieneigenen Imbissgeschäft (vgl. act. A3/10, S. 2). Zudem kann er in seiner Herkunftsregion auf ein grosses Beziehungsnetz zurückgreifen, weshalb er gute Voraussetzungen mitbringt, die es ihm ermöglichen sollten, in seiner Heimat - auch in Berücksichtigung der dortigen angespannten Arbeitsmarktlage - in absehbarer Zeit für seinen Unterhalt aufzukommen. So wird er dabei auch auf die Unterstützung seiner engsten Familienangehörigen zählen können, da seine Eltern und Geschwister mit Urteilen gleichen Datums die Schweiz ebenfalls zu verlassen haben.</w:t>
      </w:r>
    </w:p>
    <w:p>
      <w:r>
        <w:rPr>
          <w:b/>
        </w:rPr>
        <w:t>E. 5.4.6</w:t>
      </w:r>
    </w:p>
    <w:p>
      <w:r>
        <w:t>Der Vollzug der Wegweisung erweist sich nach dem Gesagten ins-gesamt als zumutbar.</w:t>
      </w:r>
    </w:p>
    <w:p>
      <w:r>
        <w:rPr>
          <w:b/>
        </w:rPr>
        <w:t>E. 5.5</w:t>
      </w:r>
    </w:p>
    <w:p>
      <w:r>
        <w:t>Schliesslich obliegt es dem Beschwerdeführer, sich nötigenfalls bei der Vertretung des Heimatstaates die für eine Rückkehr notwendigen Reisedokumente zu beschaffen (Art. 8 Abs. 4 AsylG), weshalb der Vollzug der Wegweisung auch als möglich zu bezeichnen ist (Art. 83 Abs. 2 AuG, vgl. auch BVGE 2008/34 E. 12 S. 513 ff.).</w:t>
      </w:r>
    </w:p>
    <w:p>
      <w:r>
        <w:rPr>
          <w:b/>
        </w:rPr>
        <w:t>E. 5.6</w:t>
      </w:r>
    </w:p>
    <w:p>
      <w:r>
        <w:t>Zusammenfassend hat das BFM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7</w:t>
      </w:r>
    </w:p>
    <w:p>
      <w:r>
        <w:t>Bei diesem Ausgang des Verfahrens wären die Verfahrenskosten grundsätzlich dem unterliegenden Beschwerdeführer aufzuerlegen (Art. 63 Abs. 1 VwVG). Dieser hat jedoch um unentgeltliche Prozessführung nach Art. 65 Abs. 1 VwVG ersucht. Gemäss dieser Bestimmung befreit die Beschwerdeinstanz eine Partei, die nicht über die erforderlichen Mittel verfügt, auf Antrag von der Bezahlung der Verfahrenskosten, sofern ihr Begehren nicht aussichtslos erscheint. In casu erschienen die Anträge des Beschwerdeführers nicht als aussichtslos. Da zudem von seiner Bedürftigkeit auszugehen ist, ist das Gesuch gutzuheissen und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