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D-1268/2017 vom 17. August 2018</w:t>
      </w:r>
    </w:p>
    <w:p>
      <w:r>
        <w:t>Bundesverwaltungsgericht, 2018-08-17, DE</w:t>
      </w:r>
    </w:p>
    <w:p>
      <w:r>
        <w:rPr>
          <w:b/>
        </w:rPr>
        <w:t xml:space="preserve">Quelle: </w:t>
      </w:r>
      <w:r>
        <w:t>https://mcp.opencaselaw.ch/entscheid/bvger_D-1268_2017</w:t>
      </w:r>
    </w:p>
    <w:p>
      <w:r>
        <w:t>FR: TAF D-1268/2017 du 17 août 2018</w:t>
      </w:r>
    </w:p>
    <w:p>
      <w:r>
        <w:t>IT: TAF D-1268/2017 del 17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 Die Tatsache, dass dem Beschwerdeführer die unentgeltliche Rechtspflege (Art. 65 Abs. 1 VwVG) gewährt wurde (vgl. oben Bst. F), die Beschwerde also im Beschwerdezeitpunkt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Für die Prüfung der offensichtlichen Unbegründetheit (Art. 111 Bst. e AsylG) ist der Urteilszeitpunkt massgebend, während für die Beurteilung der Aussichtslosigkeit der Beschwerdebegehren (Art. 65 Abs. 1 VwVG) auf den Zeitpunkt der Beschwerdeerhebung abzustellen ist (BGE 133 III 614 E. 5).</w:t>
      </w:r>
    </w:p>
    <w:p>
      <w:r>
        <w:rPr>
          <w:b/>
        </w:rPr>
        <w:t>E. 2.3</w:t>
      </w:r>
    </w:p>
    <w:p>
      <w:r>
        <w:t>In der Beschwerde wird lediglich die Feststellung der Flüchtlingseigenschaft (und damit sinngemäss die Gewährung der vorläufigen Aufnahme) beantragt. Demnach ist die vorinstanzliche Verfügung vom 30. Januar 2017, soweit sie die Frage des Asyls betrifft, in Rechtskraft erwachsen und die Wegweisung als solche ist praxisgemäss auch nicht mehr zu überprüfen.</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zentralen Vorbringen des Beschwerdeführers, nach einer handgreiflichen Auseinandersetzung mit dem Vorgesetzten sei er inhaftiert worden und in der Folge aus der Haft geflohen, als nicht glaubhaft. So habe der Beschwerdeführer nicht überzeugend darlegen können, wie es zu der handgreiflichen Auseinandersetzung gekommen sei (nur allgemeine Erklärungen wie beispielsweise die Wut auf den Vorgesetzten wegen nicht gewährten Urlaubs oder anderer Schikanen, vgl. SEM-Protokoll A15 S. 10). Auch die Schilderung des Handlungsablaufs sei wenig konkret ausgefallen (Stück Holz ergriffen und Vorgesetzten damit geschlagen, daraufhin sei dieser "normal verletzt gewesen", vgl. A15 S. 10). Danach befragt, wie die Soldaten dazu gestossen seien, habe der Beschwerdeführer ausweichend erklärt, dass andere Personen dabei gewesen seien und ihn festgenommen hätten (vgl. A15 S. 10). Auch die Schilderung der Haft und der Flucht sei vage und rudimentär ausgefallen (Wächter seien im Zeitpunkt der Flucht draussen gewesen, zwei Häftlinge auf einem Wagen und zwei unten, vgl. A15 S. 12). Die angebliche Misshandlung habe der Beschwerdeführer scheinbar willkürlich eingestreut, ohne sie zeitlich, örtlich oder chronologisch in der Darstellung einzubetten (vgl. A15 S. 9). Die Schilderung der Flucht erscheine als lose Aufzählung von Einzelereignissen und vagen Fakten. Auffallend sei zudem, dass die Aussagen anlässlich der summarischen Befragung erheblich detaillierter und präziser ausgefallen seien als im Rahmen der Anhörung. Diese augenscheinliche Diskrepanz erscheine als Strukturbruch, der angesichts der offen zutage tretenden Abnahme von detailreichen Angaben zu ausgeprägt erscheine, als dass ein natürliches Verblassen von Wahrnehmungen im Langzeitgedächtnis der hauptsächliche Grund dafür sein könne. Schliesslich sei auch die illegale Ausreise zu bezweifeln, indessen sei diese ohnehin asylrechtlich nicht relevant.</w:t>
      </w:r>
    </w:p>
    <w:p>
      <w:r>
        <w:rPr>
          <w:b/>
        </w:rPr>
        <w:t>E. 4.2</w:t>
      </w:r>
    </w:p>
    <w:p>
      <w:r>
        <w:t>In der Beschwerde wird detailreich die Situation des Beschwerdeführers als Ausbildner im Militär geschildert und dabei insbesondere darauf hingewiesen, dass der Beschwerdeführer diese Arbeit zwei Jahre lang ohne Gewährung eines Urlaubs verrichtet habe, was hauptsächlicher Grund für die innere Frustration des Beschwerdeführers gewesen sei. Entgegen der Aussage anlässlich der summarischen Befragung sei es der Beschwerdeführer und nicht dessen Vorgesetzter gewesen, der als erster gewalttätig geworden sei. Der Beschwerdeführer habe sich während der Befragung geschämt, gegenüber den schweizerischen Behörden als gewalttätig dazustehen, und habe daher nicht die Wahrheit gesagt. Im Weiteren wird in der Beschwerde die Flucht aus der Haft geschildert und darauf hingewiesen, dass die Erzählung des Beschwerdeführers durchaus detailreich ausgefallen sei. Entgegen der Auffassung der Vorinstanz habe der Beschwerdeführer seine Vorbringen glaubhaft darlegen können. Dem Beschwerdeführer drohe bei einer Rückkehr eine Inhaftierung mit anschliessendem Militärdienst. Der Vollzug der Wegweisung sei unzulässig, da ihm bei einer Rückkehr nach Eritrea eine Haft unter unmenschlichen Bedingungen oder lebenslange Zwangsarbeit drohe, was ein Verstoss gegen Art. 3 EMRK darstelle.</w:t>
      </w:r>
    </w:p>
    <w:p>
      <w:r>
        <w:rPr>
          <w:b/>
        </w:rPr>
        <w:t>E. 5.1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Abs. 1-3 AsylG anzuerkennen (vgl. zum Ganzen Entscheidungen und Mitteilungen der ehemaligen Asylrekurskommission [EMARK] 2006 Nr. 3; jüngst beispielsweise bestätigt in Urteil des BVGer E-1740/2016 vom 9. Februar 2018 E. 5.1). Der Beschwerdeführer vermochte die geltend gemachte Haft und nachfolgende Flucht nicht nachzuweisen oder zumindest glaubhaft zu machen. Das SEM hat hinreichend dargelegt, aus welchen Gründen die Angaben des Beschwerdeführers überwiegend konstruiert und unbestimmt erscheinen. Zur Vermeidung von Wiederholungen kann auf die zu bestätigenden Erwägungen des SEM verwiesen werden, auf welche in der Beschwerde nur ansatzweise eingegangen wird. Vielmehr werden lediglich die Vorbringen des Beschwerdeführers nochmals geschildert und es wird auf bestehende Realkennzeichen hingewiesen. Diese Hervorhebung einzelner Aussagen des Beschwerdeführers im Detail vermag nichts daran zu ändern, dass das Aussageverhalten des Beschwerdeführers bezüglich der Verhaftung, der Haft und der Flucht überwiegend ausweichend und unbestimmt ausgefallen ist. Folglich bestehen keine konkreten Anhaltspunkte dafür, dass der Beschwerdeführer von den eritreischen Behörden als Dienstverweigerer angesehen wird.</w:t>
      </w:r>
    </w:p>
    <w:p>
      <w:r>
        <w:rPr>
          <w:b/>
        </w:rPr>
        <w:t>E. 5.2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5.2).Da es dem Beschwerdeführer nicht gelungen ist, die geltend gemachte Flucht aus dem Militärdienst glaubhaft zu machen, bestehen keine Hinweise darauf, dass zusätzliche Anknüpfungspunkte existieren, welche ihn in den Augen der eritreischen Behörden als missliebige Person erscheinen lassen würden. Im Lichte der neueren Rechtsprechung des Bundesverwaltungsgerichts erfüllt er - unabhängig von der Frage der Glaubhaftigkeit der illegalen Ausreise - die Flüchtlingseigenschaft deshalb auch unter diesem Gesichtspunkt nicht.</w:t>
      </w:r>
    </w:p>
    <w:p>
      <w:r>
        <w:rPr>
          <w:b/>
        </w:rPr>
        <w:t>E. 6.1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6.2.1</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In der Beschwerde wird die Auffassung vertreten, der Wegweisungsvollzug sei angesichts der drohenden Einziehung in den eritreischen Nationaldienst und einer damit verbundenen Verletzung von Art. 3 und Art. 4 Abs. 2 EMRK als unzulässig zu betrachten. Aufgrund des Alters des Beschwerdeführers erscheint seine Befürchtung, bei einer Rückkehr in den Nationaldienst eingezogen zu werden, als plausibel (vgl. zur eritreischen Musterungspraxis auch das Referenzurteil D-2311/2016 vom 17. August 2017 E. 13.2-13.4).</w:t>
      </w:r>
    </w:p>
    <w:p>
      <w:r>
        <w:rPr>
          <w:b/>
        </w:rPr>
        <w:t>E. 6.2.3</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6.1.5.2). Es kann auf die Ausführungen im genannten Urteil verwiesen werden.</w:t>
      </w:r>
    </w:p>
    <w:p>
      <w:r>
        <w:rPr>
          <w:b/>
        </w:rPr>
        <w:t>E. 6.2.4</w:t>
      </w:r>
    </w:p>
    <w:p>
      <w:r>
        <w:t>Aus den Akten ergeben sich keine weiteren Gründe für die Annahme der Unzulässigkeit des Wegweisungsvollzugs. Der Wegweisungsvollzug ist folglich als zulässig zu betrachten.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Die drohende Einziehung in den eritreischen Nationaldienst führt mangels einer hinreichend konkreten Gefährdung nicht generell zur Feststellung der Unzumutbarkeit des Wegweisungsvollzugs gemäss Art. 83 Abs. 4 AuG (vgl. Urteil E-5022/2017 E. 6.2).</w:t>
      </w:r>
    </w:p>
    <w:p>
      <w:r>
        <w:rPr>
          <w:b/>
        </w:rPr>
        <w:t>E. 7.3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jedoch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D- 2311/2016 vom 17. August 2017 E. 16 f.).</w:t>
      </w:r>
    </w:p>
    <w:p>
      <w:r>
        <w:rPr>
          <w:b/>
        </w:rPr>
        <w:t>E. 7.4</w:t>
      </w:r>
    </w:p>
    <w:p>
      <w:r>
        <w:t>Beim Beschwerdeführer handelt es sich um einen jungen, gesunden Mann mit verwandtschaftlichen Beziehungen (Eltern, Geschwister und weitere Verwandten) und abgeschlossener Schulbildung. Es ist deshalb davon auszugehen, dass der Beschwerdeführer bei einer Rückkehr mit Unterstützung seiner Familie eine gesicherte Wohnsituation und Möglichkeiten zur Wiedereingliederung vorfinden wird.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 Nach dem Gesagten erweist sich der Vollzug der Wegweisung auch als zumutbar.</w:t>
      </w:r>
    </w:p>
    <w:p>
      <w:r>
        <w:rPr>
          <w:b/>
        </w:rPr>
        <w:t>E. 7.5</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Indessen wurde mit Zwischenverfügung vom 7. März 2017 das Gesuch um Gewährung der unentgeltlichen Rechtspflege gemäss Art. 65 Abs. 1 VwVG gutgeheissen. Demgemäss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