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D-1266/2024 vom 16. Februar 2024</w:t>
      </w:r>
    </w:p>
    <w:p>
      <w:r>
        <w:t>Bundesverwaltungsgericht, 2024-02-16, DE</w:t>
      </w:r>
    </w:p>
    <w:p>
      <w:r>
        <w:rPr>
          <w:b/>
        </w:rPr>
        <w:t xml:space="preserve">Quelle: </w:t>
      </w:r>
      <w:r>
        <w:t>https://mcp.opencaselaw.ch/entscheid/bvger_D-1266_2024_d20240216</w:t>
      </w:r>
    </w:p>
    <w:p>
      <w:r>
        <w:t>FR: TAF D-1266/2024 du 16 février 2024</w:t>
      </w:r>
    </w:p>
    <w:p>
      <w:r>
        <w:t>IT: TAF D-1266/2024 del 16 febbraio 2024</w:t>
      </w:r>
    </w:p>
    <w:p>
      <w:pPr>
        <w:pStyle w:val="Heading2"/>
      </w:pPr>
      <w:r>
        <w:t>Regeste</w:t>
      </w:r>
    </w:p>
    <w:p>
      <w:r>
        <w:t>Asyl und Wegweisung (beschleunigtes Verfahren) | Asyl und Wegweisung (beschleunigtes Verfahren); Verfügung des SEM vom 16.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1.4</w:t>
      </w:r>
    </w:p>
    <w:p>
      <w:r>
        <w:t>Das Bundesverwaltungsgericht koordiniert das vorliegende Verfahren mit demjenigen der Familie der Beschwerdeführerin (D-1263/2024). Die Akten beider Asylverfahren werden jeweils auch für das konnexe Verfahren berücksichtigt. Zudem werden beide Fälle durch denselben Spruchkörper beurteilt und gleichzeitig entschieden.</w:t>
      </w:r>
    </w:p>
    <w:p>
      <w:r>
        <w:rPr>
          <w:b/>
        </w:rPr>
        <w:t>E. 1.5</w:t>
      </w:r>
    </w:p>
    <w:p>
      <w:r>
        <w:t>Das Begehren um Feststellung, dass der Beschwerde von Gesetzes wegen aufschiebende Wirkung zukomme und die Beschwerdeführerin den Ausgang des Verfahrens in der Schweiz abwarten könne, wird mit dem vorliegenden Urteil gegenstandslos.</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w:t>
      </w:r>
    </w:p>
    <w:p>
      <w:r>
        <w:t>D-1266/2024 Seite 5 Das Bundesverwaltungsgericht kann auch in solchen Fällen auf die Durch- führung eines Schriftenwechsels verzichten (vgl. Art. 111a Abs. 1 AsylG).</w:t>
      </w:r>
    </w:p>
    <w:p>
      <w:r>
        <w:rPr>
          <w:b/>
        </w:rPr>
        <w:t>E. 4.1</w:t>
      </w:r>
    </w:p>
    <w:p>
      <w:r>
        <w:t>Die Beschwerdeführerin rügt in verfahrensrechtlicher Hinsicht sinnge- mäss eine ungenügende Feststellung des medizinischen Sachverhalts.</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4.3</w:t>
      </w:r>
    </w:p>
    <w:p>
      <w:r>
        <w:t>Entgegen den Ausführungen in der Beschwerde ergeben sich aus den Angaben in der Anhörung zu den Asylgründen keine konkreten Anhalts- punkte auf einen medizinischen Abklärungs- oder Behandlungsbedarf. So antwortete die Beschwerdeführerin beim rechtlichen Gehör zum medizini- schen Sachverhalt lediglich, sie könne nicht sagen, dass es ihr wirklich gut gehe (vgl. SEM-act. […]-66/14 F10). Die Rüge der unvollständigen Sach- verhaltsermittlung erweist sich deshalb als unbegründet, zumal weder mit der Rechtsmitteleingabe noch im weiteren Verlauf des inzwischen über ein- einhalb Jahre dauernden Beschwerdeverfahrens ärztliche Berichte einge- reicht wurden.</w:t>
      </w:r>
    </w:p>
    <w:p>
      <w:r>
        <w:rPr>
          <w:b/>
        </w:rPr>
        <w:t>E. 4.4</w:t>
      </w:r>
    </w:p>
    <w:p>
      <w:r>
        <w:t>Die verfahrensrechtliche Rüge erweist sich somit als unbegründet. Es besteht deshalb keine Veranlassung, die angefochtene Verfügung aus for- mellen Gründen aufzuheben und die Sache an die Vorinstanz zurückzu- weisen. Das entsprechende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D-1266/2024 Seite 6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ablehnenden Asylentscheids aus, dass keine Beweismittel eingereicht worden seien, welche die geltend gemachte vergebliche Kontaktnahme der Eltern der Beschwerdeführerin bei den heimatlichen Behörden wegen der drohenden Zwangsverheiratung belegen könnten. Zudem könne sie nicht erklären, warum sie nicht noch- mals versucht habe, Hilfe von den heimatlichen Behörden zu erhalten. Es sei der Beschwerdeführerin respektive der Familie zumutbar, sich an ver- schiedene Stellen in ihrer Heimat zu wenden, beziehungsweise ihr Anlie- gen erneut vorzutragen, sollte sie sich weiterhin durch ihren Onkel sowie dessen Sohn C._______ bedroht sehen. Anhand der Akten sei nicht er- sichtlich, weshalb die heimatlichen Behörden ihr den erforderlichen Schutz nicht hätten gewähren sollen oder in Zukunft nicht gewähren würden. Ihre Angabe, ihre Verwandten würden zu den Dorfschützern gehören und für die Türken arbeiten und die Polizisten seien ebenfalls Türken und würden sodann die Türken und nicht die Kurden verteidigen, erkläre nicht, weshalb die Polizei ihre Anzeige nicht behandeln würde und lasse sich ferner nicht an konkreten Fakten festmachen. Zwar sei es nicht gänzlich auszuschlies- sen, dass in südöstlichen Gebieten der Türkei die Behörden in ähnlich ge- lagerten Fällen zögerlich oder allenfalls unzureichend aktiv werde. Ihr res- pektive ihrer Familie wäre jedoch nebst einer Schutzsuche in ihrer Her- kunftsregion auch die Möglichkeit offen gestanden, ihren Wohnsitz in eine westlichere Region der Türkei zu verlegen, wo die behördliche Schutz- infrastruktur besser ausgebaut und der Schutzwille als gegeben zu erach- ten sei. Ihre Aussage, ein Umzug innerhalb der Türkei hätte nichts ge- bracht, da es in der Türkei keine grosse Sache sei, jemanden zu finden, vermöge nicht zu überzeugen. Das SEM verkenne nicht, dass die von ihr vorgebrachten sexuellen Über- griffe für sie, auch angesichts ihres jungen Alters, traumatisierend und</w:t>
      </w:r>
    </w:p>
    <w:p>
      <w:r>
        <w:t>D-1266/2024 Seite 7 belastend gewesen sein mögen. Auch sei nachvollziehbar, dass solche Vorfälle mit Scham- und Schuldgefühlen behaftet sein könnten. Dies än- dere jedoch nichts an der Tatsache, dass es ihr respektive ihren Eltern als Sorgeberechtigte zumutbar und möglich wäre, sich diesbezüglich an die heimatlichen Behörden zu wenden, zumal das türkische Strafgesetzbuch sexuelle Gewalt als Verbrechen erkenne. Es seien den Akten keine Hin- weise zu entnehmen, weshalb die türkischen Behörden im Fall, dass sie sich bezüglich der geltend gemachten sexuellen Übergriffe an diese wen- den würden, nichts unternehmen würden. Es stehe ihr die Möglichkeit offen, rechtliche Schritte gegen ihre Verwandte durch einen Anwalt einzuleiten. Dies insbesondere vor dem Hintergrund, dass sie das gesetzliche Heiratsalter noch nicht erreicht habe. So habe eine Frau, die zur Eheschliessung gezwungen worden sei, gemäss Zivil- gesetzbuch innerhalb der ersten fünf Jahre nach der Heirat die Möglichkeit, Strafanzeige zu erstatten und die Aufhebung der Ehe zu beantragen. Da- ran vermöge auch die Aussage, wonach man sie nicht offiziell, jedoch reli- giös ohne die Einwilligung ihrer Eltern verheiraten könne und sie dann, wenn sie die Volljährigkeit erreichen würden, offiziell verheiraten würde, nichts zu ändern. Im Übrigen sei der Vollständigkeit halber anzumerken, dass gemäss den vorliegenden Akten noch keine konkreten Schritte zur Planung oder Durchführung der besagten Hochzeit mit ihrem Cousin C._______ ergangen seien. Folglich reiche der vage Verweis auf hypothe- tische Zukunftsszenarien nicht zur Annahme einer Verfolgungsgefahr aus. Die vorgebrachten Unterdrucksetzungen durch ihre Verwandten sowie die polizeilichen Hausdurchsuchungen hätten schliesslich nicht ihr, sondern vielmehr ihrem Vater gegolten. Die genannten Vorfälle seien überdies lokal oder regional beschränkt gewesen.</w:t>
      </w:r>
    </w:p>
    <w:p>
      <w:r>
        <w:rPr>
          <w:b/>
        </w:rPr>
        <w:t>E. 6.2</w:t>
      </w:r>
    </w:p>
    <w:p>
      <w:r>
        <w:t>Dem wird in der Beschwerde entgegnet, die Verwandten der Beschwer- deführerin würden den Dorfschützern angehören. Diese hätten gute Kon- takte zur Gendarmerie und zur Polizei. Sie vermute, dass ihr und ihrer Fa- milie, weil sie Kurden seien, von der Polizei nicht weitergeholfen worden sei. Die türkischen Polizei- und Justizorgane würden bei sexueller Gewalt gegenüber Frauen und Zwangsheiraten keinen genügenden Schutz bie- ten. Seit dem gescheiterten Putsch im Juli 2016 sei eine Zunahme von Gewalt an Frauen zu verzeichnen. Mit dem Ausstieg aus dem Istanbul- Übereinkommen befreie sich der türkische Präsident auch von den unab- hängigen Untersuchungen des Europarats, die bisher internationalen Druck auf ihn hätten ausüben können. Der türkische Staat könne Opfer</w:t>
      </w:r>
    </w:p>
    <w:p>
      <w:r>
        <w:t>D-1266/2024 Seite 8 häuslicher Gewalt nur sehr begrenzt schützen und die Reaktionen auf die verschiedenen Formen solcher Gewalt seien oft nur schwach und unvoll- ständig. So würden zwar vordergründig mehr einstweilige Verfügungen er- lassen, welche Frauen schützen sollen, jedoch würden diese nicht durch- gesetzt, womit gefährliche Schutzlücken entstehen würden. Diese man- gelnde Durchsetzung habe dazu geführt, dass Frauen, die sich bei den Behörden meldeten, von den Tätern getötet worden oder über Jahre hin- weg immer wieder Gewalt ausgesetzt gewesen seien. Um Schutz vor der geplanten Zwangsheirat mit ihrem Cousin C._______ zu erlangen, sei die Beschwerdeführerin und ihre Familie zwei Mal bei der Polizei vorstellig geworden. Die Polizeibeamten hätten ihnen jedoch zu ver- stehen gegeben, dass sie nichts tun könnten. Demnach müsse davon aus- gegangen werden, dass sie von sexuellem Missbrauch sowie unmittelbar von einer Zwangsverheiratung bedroht gewesen sei und der türkische Staat nicht willens und in der Lage gewesen sei, sie davor zu schützen.</w:t>
      </w:r>
    </w:p>
    <w:p>
      <w:r>
        <w:rPr>
          <w:b/>
        </w:rPr>
        <w:t>E. 7.1</w:t>
      </w:r>
    </w:p>
    <w:p>
      <w:r>
        <w:t>Das Bundesverwaltungsgericht gelangt nach Durchsicht der Akten zum Schluss, dass das SEM das Asylgesuch zu Recht abgelehnt und die Flüchtlingseigenschaft ebenfalls zu Recht verneint hat. Dabei kann auf die zutreffenden Erwägungen des SEM in der angefochtenen Verfügung ver- wiesen werden (vgl. Verfügung vom 16. Februar 2024, Ziff. II, S. 4-9).</w:t>
      </w:r>
    </w:p>
    <w:p>
      <w:r>
        <w:rPr>
          <w:b/>
        </w:rPr>
        <w:t>E. 7.2</w:t>
      </w:r>
    </w:p>
    <w:p>
      <w:r>
        <w:t>Betreffend die Bedrohung und der Zwangsheirat mit dem Cousin C._______ ist auszuführen, dass es sich dabei um Bedrohungen durch nicht-staatliche Akteure handelt. Eine entsprechende Verfolgung ist asyl- rechtlich nur von Relevanz, wenn der türkische Staat nicht schutzfähig oder schutzwillig ist. Das Bundesverwaltungsgericht geht in konstanter Recht- sprechung davon aus, dass die türkischen Behörden bei Frauen, die Opfer von innerfamiliären Übergriffen zu werden drohen – etwa aufgrund von Zwangsheirat, häuslicher Gewalt oder anderen Verstössen gegen die «Fa- milienehre» – grundsätzlich willens und in der Lage sind, staatlichen Schutz zu gewähren (vgl. zum Ganzen Referenzurteil des BVGer E-1948/2018 vom 12. Juni 2018 E. 5.2). Die Beschwerdeführerin und ihre Familie machen zwar geltend, sie hätten sich bereits zweimal an die Polizei gewendet, ihr diesbezügliches Schutzersuchen haben sie jedoch unbelegt gelassen. Zudem wäre es ihnen durchaus zumutbar gewesen, sich an ver- schiedene staatliche Stellen – gegebenenfalls mit Hilfe eines Anwalts – zu wenden, sollten diese dem Schutzersuchen nicht entsprechen. Sodann ist festzuhalten, dass die geltend gemachten Behelligungen und die angeblich</w:t>
      </w:r>
    </w:p>
    <w:p>
      <w:r>
        <w:t>D-1266/2024 Seite 9 drohende Zwangsheirat lokal beziehungsweise regional begrenzt sind. Es wäre für die Beschwerdeführerin und ihre Familie zumutbar gewesen, sich durch einen Wegzug in eine grössere Stadt im Westen der Türkei der dro- henden Zwangsheirat zu entziehen. Dabei vermag auch der Einwand, in der Türkei sei es ein leichtes, jemanden ausfindig zu machen (vgl. SEM- act. […]-66/14 F73), nicht überzeugen. Es ist vielmehr davon auszugehen, dass die Beschwerdeführerin und ihre Familie sich durch einen Wegzug in eine grössere Stadt wirksam der Zwangsheirat sowie der Bedrohung der Verwandten hätten entziehen können.</w:t>
      </w:r>
    </w:p>
    <w:p>
      <w:r>
        <w:rPr>
          <w:b/>
        </w:rPr>
        <w:t>E. 7.3</w:t>
      </w:r>
    </w:p>
    <w:p>
      <w:r>
        <w:t>Sodann gelten die vorgebrachten Behelligungen durch die Verwandten der Beschwerdeführerin sowie der türkischen Polizei nicht der Beschwer- deführerin, sondern ihrem Vater sowie ihren Brüdern (vgl. SEM-act. […]- 66/14 F48). Entsprechend ist nicht von einer zielgerichteten Verfolgung der Beschwerdeführerin auszugehen und sie vermag daraus nichts zu ihren Gunsten ableiten.</w:t>
      </w:r>
    </w:p>
    <w:p>
      <w:r>
        <w:rPr>
          <w:b/>
        </w:rPr>
        <w:t>E. 7.4</w:t>
      </w:r>
    </w:p>
    <w:p>
      <w:r>
        <w:t>Nach dem Gesagten hat das SEM das Asylgesuch zu Recht abgelehnt und die Flüchtlingseigenschaft ebenfalls zu Recht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D-1266/2024 Seite 10</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Weder die allgemeine Menschenrechtssituation noch die allgemeine</w:t>
      </w:r>
    </w:p>
    <w:p>
      <w:r>
        <w:t>D-1266/2024 Seite 11 Situation von Frauen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 Bei der Anordnung der Wegweisung und des Wegweisungsvollzugs ist Grundsatz der Einheit der Familie zu berücksichtigen (vgl. Art. 44 AsylG). Die Vollzugsbehörden haben deshalb vorliegend sicherzustellen, dass die minderjährige Beschwerdeführerin gemeinsam mit ihren Eltern und Ge- schwistern (D-1263/2024) in die Türkei zurückkehren wird, deren Be- schwerde mit heutigem Urteil ebenfalls abgewiesen wurde. Es ist davon auszugehen, dass die Familie die Beschwerdeführerin bei der Reintegra- tion in die Türkei unterstützen wird. Betreffend das Kindeswohl ist weiter auszuführen, dass sie in B._______ geboren und aufgewachsen ist, dort die Schule während acht Jahren besucht hat und über Freunde verfügt, mit denen sie noch in Kontakt steht (vgl. SEM-act. […]-66/14 F32, F41 f.). Sie befindet sich erst seit zwei Jahren in der Schweiz. Es kann deshalb davon auszugegangen werden, dass sie sich im Heimatland sozial wieder integ- rieren wird. Eine Rückkehr in die Türkei steht somit im Einklang mit den massgeblichen gesetzlichen Bestimmungen ist auch mit dem Kindswohl vereinbar.</w:t>
      </w:r>
    </w:p>
    <w:p>
      <w:r>
        <w:t>D-1266/2024 Seite 12</w:t>
      </w:r>
    </w:p>
    <w:p>
      <w:r>
        <w:rPr>
          <w:b/>
        </w:rPr>
        <w:t>E. 9.3.3</w:t>
      </w:r>
    </w:p>
    <w:p>
      <w:r>
        <w:t>Nach dem Gesagten erweist sich der Vollzug der Wegweisung auch als zumutbar.</w:t>
      </w:r>
    </w:p>
    <w:p>
      <w:r>
        <w:rPr>
          <w:b/>
        </w:rPr>
        <w:t>E. 9.4</w:t>
      </w:r>
    </w:p>
    <w:p>
      <w:r>
        <w:t>Schliesslich obliegt es der Beschwerdeführerin, sich bei der zuständi- gen Vertretung des Heimatstaates die für eine Rückkehr notwendigen Rei- sedokumente zu beschaffen (vgl. BVGE 2008/34 E. 12), weshalb der Voll- 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angemessen ist. Die Beschwerde ist abzuwei- sen.</w:t>
      </w:r>
    </w:p>
    <w:p>
      <w:r>
        <w:rPr>
          <w:b/>
        </w:rPr>
        <w:t>E. 11.1</w:t>
      </w:r>
    </w:p>
    <w:p>
      <w:r>
        <w:t>Bei diesem Ausgang des Verfahrens wären die Kosten der Beschwer- deführerin aufzuerlegen (Art. 63 Abs. 1 VwVG). Die Gesuche um unent- geltliche Prozessführung sowie Einsetzung eines amtlichen Rechtsbei- standes sind jedoch gutzuheissen, da sich die Begehren nicht zum vorn- herein als aussichtlos erwiesen haben. Lea Schlunegger, Rechtsanwältin, wird als amtliche Rechtsbeiständin eingesetzt.</w:t>
      </w:r>
    </w:p>
    <w:p>
      <w:r>
        <w:rPr>
          <w:b/>
        </w:rPr>
        <w:t>E. 11.2</w:t>
      </w:r>
    </w:p>
    <w:p>
      <w:r>
        <w:t>Es wurde keine Kostennote eingereicht, weshalb die notwendigen Parteikosten aufgrund der Akten zu bestimmen sind (Art. 14 Abs. 2 in fine VGKE). Gestützt auf die in Betracht zu ziehenden Bemessungsfaktoren (vgl. Art. 12 i.V.m. Art. 8–11 des Reglements über die Kosten und Entschä- digungen vor dem Bundesverwaltungsgericht [VGKE, SR 173.320.2]) ist das amtliche Honorar auf insgesamt Fr. 1’100.– festzusetzen.</w:t>
      </w:r>
    </w:p>
    <w:p>
      <w:r>
        <w:rPr>
          <w:b/>
        </w:rPr>
        <w:t>E. 11.3</w:t>
      </w:r>
    </w:p>
    <w:p>
      <w:r>
        <w:t>Das Gesuch um Verzicht auf Erhebung eines Kostenvorschusses wird mit dem vorliegenden Urteil gegenstandslos.</w:t>
      </w:r>
    </w:p>
    <w:p>
      <w:r>
        <w:t>(Dispositiv nächste Seite)</w:t>
      </w:r>
    </w:p>
    <w:p>
      <w:r>
        <w:t>D-1266/2024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