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D-1263/2022 vom 19. Januar 2024</w:t>
      </w:r>
    </w:p>
    <w:p>
      <w:r>
        <w:t>Bundesverwaltungsgericht, 2024-01-19, IT</w:t>
      </w:r>
    </w:p>
    <w:p>
      <w:r>
        <w:rPr>
          <w:b/>
        </w:rPr>
        <w:t xml:space="preserve">Quelle: </w:t>
      </w:r>
      <w:r>
        <w:t>https://mcp.opencaselaw.ch/entscheid/bvger_D-1263_2022</w:t>
      </w:r>
    </w:p>
    <w:p>
      <w:r>
        <w:t>FR: TAF D-1263/2022 du 19 janvier 2024</w:t>
      </w:r>
    </w:p>
    <w:p>
      <w:r>
        <w:t>IT: TAF D-1263/2022 del 19 gennaio 2024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dell’esenzione dalle spese processuali, è respinta.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La cancelliera:</w:t>
      </w:r>
    </w:p>
    <w:p>
      <w:r>
        <w:t>Manuel Borla Francesca Bertini-Tramèr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