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D-1253/2024 vom 19. Februar 2024</w:t>
      </w:r>
    </w:p>
    <w:p>
      <w:r>
        <w:t>Bundesverwaltungsgericht, 2024-02-19, DE</w:t>
      </w:r>
    </w:p>
    <w:p>
      <w:r>
        <w:rPr>
          <w:b/>
        </w:rPr>
        <w:t xml:space="preserve">Quelle: </w:t>
      </w:r>
      <w:r>
        <w:t>https://mcp.opencaselaw.ch/entscheid/bvger_D-1253_2024_d20240219</w:t>
      </w:r>
    </w:p>
    <w:p>
      <w:r>
        <w:t>FR: TAF D-1253/2024 du 19 février 2024</w:t>
      </w:r>
    </w:p>
    <w:p>
      <w:r>
        <w:t>IT: TAF D-1253/2024 del 19 febbraio 2024</w:t>
      </w:r>
    </w:p>
    <w:p>
      <w:pPr>
        <w:pStyle w:val="Heading2"/>
      </w:pPr>
      <w:r>
        <w:t>Regeste</w:t>
      </w:r>
    </w:p>
    <w:p>
      <w:r>
        <w:t>Nichteintreten auf Asylgesuch und Wegweisung (Dublin-Verfahren - Art. 31a Abs. 1 Bst. b AsylG) | Nichteintreten auf Asylgesuch und Wegweisung (Dublin-Verfahren); Verfügung des SEM vom 19. Februar 2024</w:t>
      </w:r>
    </w:p>
    <w:p>
      <w:pPr>
        <w:pStyle w:val="Heading2"/>
      </w:pPr>
      <w:r>
        <w:t>Erwägungen</w:t>
      </w:r>
    </w:p>
    <w:p>
      <w:r>
        <w:rPr>
          <w:b/>
        </w:rPr>
        <w:t>E. 26</w:t>
      </w:r>
    </w:p>
    <w:p>
      <w:r>
        <w:t>Juni 2013 (Eurodac-Verordnung) stützt und das Vorgehen der bulgari- schen Behörden insoweit nicht zu beanstanden ist, dass das Bundesverwaltungsgericht in Bezug auf das bulgarische Asyl- system zwar gewisse Mängel bei den Aufnahme- und Haftbedingungen feststellte, diese jedoch nicht als systemische Schwachstellen im Sinne</w:t>
      </w:r>
    </w:p>
    <w:p>
      <w:r>
        <w:t>D-1253/2024 Seite 10 von Art. 3 Abs. 2 Sätze 2 und 3 Dublin-III-VO qualifizierte, weshalb Über- stellungen grundsätzlich zulässig sind (vgl. Referenzurteil des BVGer F-7195/2018 vom 11. Februar 2020 E. 6.6.1 und 6.6.7; vgl. ferner etwa Ur- teile des BVGer D- 4680/2023 vom 30. Oktober 2023 E. 12, D-5839/2023 vom 27. Oktober 2023 E. 8.3 und E-5821/2023 vom 27. Oktober 2023 E. 6), dass sodann festzustellen ist, dass der Beschwerdeführer trotz der von ihm geltend gemachten Problemen bei der Einreise schlussendlich in Bulgarien registriert sowie den dortigen Asylstrukturen zugeführt wurde und sich die bulgarischen Behörden auf Anfrage der Vorinstanz als für den Beschwer- deführer zuständig erklärt haben, dass daher eine Übernahme der Zuständigkeit gestützt auf die genannte Bestimmung – auch unter Berücksichtigung der Beschwerdevorbringen (vgl. Beschwerde, S. 5 ff.) – nicht angezeigt ist, dass jeder Mitgliedstaat abweichend von Art. 3 Abs. 1 Dublin-III-VO be- schliessen kann, einen bei ihm gestellten Antrag auf internationalen Schutz zu prüfen, auch wenn er nach den in dieser Verordnung festgelegten Kri- terien nicht für die Prüfung zuständig ist (Art. 17 Abs. 1 Satz 1 Dublin-III- 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Selbsteintritt obligatorisch auszuüben ist, wenn völkerrechtliche Überstellungshindernisse vorliegen (vgl. BVGE 2015/9 E. 8.2.1), dass Bulgarien Signatarstaat der EMRK, des Übereinkommens vom 10. Dezember 1984 gegen Folter und andere grausame, unmenschliche oder erniedrigende Behandlung oder Strafe (FoK, SR 0.105), des Abkom- mens vom 28. Juli 1951 über die Rechtsstellung der Flüchtlinge (FK, SR 0.142.30) sowie des Zusatzprotokolls der FK vom 31. Januar 1967 (SR 0.142.301) ist und grundsätzlich davon auszugehen ist, dass es sei- nen diesbezüglichen völkerrechtlichen Verpflichtungen nachkommt, dass auch anzunehmen ist, dieser Staat anerkenne und schütze die Rechte, die sich für Schutzsuchende aus den Richtlinien des Europäischen</w:t>
      </w:r>
    </w:p>
    <w:p>
      <w:r>
        <w:t>D-1253/2024 Seite 11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dass die Vermutung, Bulgarien halte seine völker- und gemeinschafts- rechtlichen Verpflichtungen ein, zwar im Einzelfall widerlegt werden kann, es hierfür aber konkreter und ernsthafter Hinweise bedarf, die von der be- troffenen Person glaubhaft darzutun sind, wobei die auf Beschwerdeebene geübte Kritik am bulgarischen Asylsystem nicht genügt, diese grundsätzli- che Vermutung umzustossen (vgl. BVGE 2010/45 E. 7.4 f.), dass der Beschwerdeführer kein konkretes und ernsthaftes Risiko darge- tan hat, die bulgarischen Behörden würden ihm nach einer Überstellung den Zugang zum Asyl- respektive zu einem allfälligen Wiederaufnahmever- fahren unter Einhaltung der Regeln der Richtlinie des Europäischen Parla- ments und des Rates 2013/32/EU vom 26. Juni 2013 zu gemeinsamen Verfahren für die Zuerkennung und Aberkennung des internationalen Schutzes (sog. Verfahrensrichtlinie) verweigern, wobei er gegen einen all- fälligen negativen Asylentscheid ein Rechtsmittel wird einlegen können (vgl. statt vieler Urteil BVGer D-2559/2022 vom 17. Januar 2023 E. 13.1.2 m.w.H.), dass den Akten auch keine Gründe für die Annahme zu entnehmen sind, Bulgarien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aus der vom Beschwerdeführer angeführten immer noch hohen Ab- weisungsquote für Asylgesuchstellende aus Afghanistan nicht abgeleitet werden kann, sein Asylverfahren werde in Bulgarien nicht korrekt durchge- führt oder die bulgarischen Behörden würden in seinem Fall den Grundsatz des Non-Refoulement missachten (vgl. Referenzurteil F-7195/2018 vom 11. Februar 2020 E. 6.6.7 und E. 7.2.2), dass ausserdem mit den Ausführungen hinsichtlich der angeblich unzu- mutbaren Zustände und der behaupteten Übergriffe seitens bulgarischer Sicherheitsbeamter nicht dargetan wird, die ihn bei einer Rückführung</w:t>
      </w:r>
    </w:p>
    <w:p>
      <w:r>
        <w:t>D-1253/2024 Seite 12 erwartenden Bedingungen in Bulgarien seien derart schlecht, dass sie zu einer Verletzung von Art. 4 der EU-Grundrechtecharta, Art. 3 EMRK oder Art. 3 FoK führen könnten, dass zwar angesichts der vom Beschwerdeführer geschilderten Ausfüh- rungen nicht auszuschliessen ist, dass das Verhalten der bulgarischen Grenzbehörden und die Behandlung von Asylsuchenden im Rahmen der Erstaufnahme bis zur Gesuchstellung in Bulgarien problematisch sein kön- nen, aus seinen Angaben aber auch hervorgeht, dass er in Bulgarien kein Asylgesuch habe stellen und das Land offenbar nur als Transitland habe nutzen wollen, dass davon auszugehen ist, der Beschwerdeführer habe dort keine einfa- chen Umstände angetroffen, er im Falle einer Rücküberstellung jedoch nicht als Neuankömmling behandelt, sondern direkt in die dortigen Asyl- strukturen aufgenommen würde, und er bei einer allfälligen vorübergehen- den Einschränkung der ihm zustehenden Aufnahmebedingungen sich an die bulgarischen Behörden wenden und seine Rechte notfalls auf dem Rechtsweg wird einfordern können, da Bulgarien ein Rechtsstaat mit funk- tionierendem Justizsystem ist, dass eine zwangsweise Rückweisung von Personen mit gesundheitlichen Problemen nur ausnahmsweise einen Verstoss gegen Art. 3 EMRK dar- stellen kann (vgl. BVGE 2011/9 E. 7) und die vorliegend in der EB UMA geltend gemachten Gesundheitsprobleme des Beschwerdeführers ([…]- und […]schmerzen) die Feststellung der Unzulässigkeit im Sinne der er- wähnten Rechtsprechung nicht zu rechtfertigen vermögen (vgl. act. A14, S. 11), wobei dies auch für die in der Beschwerde nachträglich angeführten und unbelegten (…) des Beschwerdeführers gilt, dass Bulgarien im Übrigen über eine ausreichende medizinische Infra- struktur verfügt und als Mitgliedstaat verpflichtet ist, dem Beschwerdefüh- rer im Bedarfsfall die notwendige medizinische Behandlung zukommen zu lassen (Art. 19 Abs. 1 und 2 Aufnahmerichtlinie), dass demnach keine völkerrechtlichen Überstellungshindernisse beste- hen, dass der Beschwerdeführer – nachdem er nicht als besonders verletzlich einzustufen ist – auch nicht unter die Kategorie von Personen fällt, für die im Kontext mit einer Überstellung nach Bulgarien allenfalls besondere Zu- sicherungen einzuholen wären (vgl. Referenzurteil des BVGer</w:t>
      </w:r>
    </w:p>
    <w:p>
      <w:r>
        <w:t>D-1253/2024 Seite 13 F-7195/2018 vom 11. Februar 2020 E. 6.6.5 und 7.3.2 ff.), weshalb der ent- sprechende Subeventualtrag auf Einholung konkreter Zusicherungen von Bulgarien abzuweisen ist, dass gemäss Praxis des Bundesverwaltungsgerichts das SEM bei der An- wendung von Art. 29a Abs. 3 AsylV 1 über einen Ermessensspielraum (vgl. BVGE 2015/9 E. 7 f.) verfügt und die angefochtene Verfügung auch unter diesem Blickwinkel nicht zu beanstanden ist, dass das SEM mithin zu Recht in Anwendung von Art. 31a Abs. 1 Bst. b AsylG auf das Asylgesuch des Beschwerdeführers nicht eingetreten ist und die Überstellung nach Bulgarien in Anwendung von Art. 44 AsylG ebenfalls zu Recht angeordnet hat, dass die Beschwerde nach vorstehenden Erwägungen abzuweisen und die Gesuche um Erlass eines superprovisorischen Vollzugsstopps, um Er- teilung der aufschiebenden Wirkung der Beschwerde sowie um Verzicht auf die Erhebung eines Kostenvorschusses gegenstandslos geworden sind, dass das mit der Beschwerde gestellte Gesuch um Gewährung der unent- geltlichen Rechtspflege – ungeachtet der geltend gemachten Mittellosigkeit – abzuweisen ist, da die Begehren – wie sich aus den vorstehenden Erwä- gungen ergibt – als offensichtlich aussichtslos zu bezeichnen waren, wes- 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D-1253/2024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