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D-1249/2009 vom 15. Februar 2010</w:t>
      </w:r>
    </w:p>
    <w:p>
      <w:r>
        <w:t>Bundesverwaltungsgericht, 2010-02-15, DE</w:t>
      </w:r>
    </w:p>
    <w:p>
      <w:r>
        <w:rPr>
          <w:b/>
        </w:rPr>
        <w:t xml:space="preserve">Quelle: </w:t>
      </w:r>
      <w:r>
        <w:t>https://mcp.opencaselaw.ch/entscheid/bvger_D-1249_2009</w:t>
      </w:r>
    </w:p>
    <w:p>
      <w:r>
        <w:t>FR: TAF D-1249/2009 du 15 février 2010</w:t>
      </w:r>
    </w:p>
    <w:p>
      <w:r>
        <w:t>IT: TAF D-1249/2009 del 15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Nach Prüfung der Akten durch das Gericht ist - in Übereinstimmung mit der Vorinstanz - festzustellen, dass die Vorbringen des Beschwerdeführers den Anforderungen an die Flüchtlingseigenschaft gemäss Art. 3 AsylG nicht standzuhalten vermögen, weshalb diesbezüglich zur Vermeidung von Wiederholungen vorab auf die zutreffenden vorinstanzlichen Erwägungen zu verweisen ist (vgl. Ziffer 1; Bst. H. vorstehend). Entgegen den Einwendungen des Beschwerdeführers in der Beschwerde, wonach es denkbar sei, dass er sich trotz Fahndung durch die Sicherheitsdienste unbemerkt bei seiner Schwes-ter in Damaskus habe aufhalten können, ist davon auszugehen, dass es für die effizient arbeitenden und gut organisierten sowie dotierten syrischen Sicherheitsdienste ein Leichtes gewesen wäre, den Beschwerdeführer dort aufzuspüren, hätten sie wirklich nach ihm gesucht. Dies umso mehr, da aufgrund der Verhältnisse in Syrien - entgegen der Behauptung in der Beschwerde - anzunehmen ist, die Schwester des Beschwerdeführers sei behördlich registriert. Bezüglich der in der eingereichten Mitgliedsbestätigung der PDKS enthaltenen Aussage, wonach der Beschwerdeführer Syrien zwangsweise habe verlassen müssen, ist festzuhalten, dass dieses Schreiben lediglich in Kopie eingereicht wurde. Zudem können nach Erkenntnis des Bundesverwaltungsgerichts solche Dokumente in Syrien leicht käuflich erworben werden, weshalb diesem Schreiben auch deshalb kein Beweiswert zukommt. Schliesslich ist hinsichtlich der in der Beschwerde beziehungsweise der Stellungnahme vom 5. Dezember 2008 geäusserten Zweifel an der Zuverlässigkeit der Botschaftsabklärung, wonach es beispielsweise nicht ausgeschlossen werden könne, dass der mit den Abklärungen betraute Vertrauensanwalt der Schweizer Botschaft in Damaskus Verbindungen zu den syrischen Behörden unterhalte beziehungsweise seine Informationen auf Auskünfte dubioser Drittpersonen stütze, festzuhalten, dass diese Einwände spekulativ und wenig überzeugend sind, und keine Anhaltspunkte bestehen, aufgrund derer sich generelle Zweifel an der Zuverlässigkeit der Abklärungen der Schweizerischen Vertretung in Damaskus ergeben könnten, weshalb vorliegend von der Richtigkeit der Botschaftsabklärung auszugehen ist.</w:t>
      </w:r>
    </w:p>
    <w:p>
      <w:r>
        <w:rPr>
          <w:b/>
        </w:rPr>
        <w:t>E. 5.1</w:t>
      </w:r>
    </w:p>
    <w:p>
      <w:r>
        <w:t>Der Beschwerdeführer machte in der Beschwerde im Weiteren geltend, er habe sich während seines Aufenthalts in der Schweiz politisch betätigt. Schon vor der Flucht sei er Kadermitglied der PDKS gewesen und habe an Protestaktionen der Organisation teilgenommen. Seit seiner Ankunft in der Schweiz habe er sich verstärkt für die PDKS und deren Ziele eingesetzt. Aufgrund seiner Aktivitäten in der Schweiz bestehe für ihn im Falle einer Rückkehr nach Syrien die Gefahr ernsthafter Verfolgung, weshalb subjektive Nachfluchtgründe gegeben seien.</w:t>
      </w:r>
    </w:p>
    <w:p>
      <w:r>
        <w:rPr>
          <w:b/>
        </w:rPr>
        <w:t>E. 5.2</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D-3357/2006 vom 9. Juli 2009 E. 7.1; Entscheidungen und Mitteilungen der Schweizerischen Asylrekurskommission [EMARK] 1995 Nr. 7 E. 7b und 8 S. 67 ff.; EMARK 2000 Nr. 16 E. 5a S. 141 f., mit weiteren Hinweisen).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2000 Nr. 16 E. 5a S. 141 f., mit weiteren Hinweisen; 1995 Nr. 7 E. 7b und 8 S. 67 ff.).</w:t>
      </w:r>
    </w:p>
    <w:p>
      <w:r>
        <w:rPr>
          <w:b/>
        </w:rPr>
        <w:t>E. 5.3</w:t>
      </w:r>
    </w:p>
    <w:p>
      <w:r>
        <w:t>Der Beschwerdeführer hat es bis zum heutigen Zeitpunkt unterlassen, seine in der Beschwerde behauptete politische Tätigkeit in der Schweiz mit Beweismitteln zu untermauern, dies obgleich er in der Rechtsmittelschrift die Einreichung solcher Beweismittel in Aussicht gestellt hat und es ihm zumutbar sowie im Rahmen der ihm obliegenden Mitwirkungspflicht gemäss Art. 8 AsylG möglich gewesen wäre. Die behauptete exilpolitische Betätigung in der Schweiz entzieht sich daher einer Prüfung durch das Gericht. Die eingereichte Mitgliedsbestätigung der PDKS vermittelt dazu kein anderes Bild, insbesondere da darin nicht geltend gemacht wird, der Beschwerde-führer würde sich auch in der Schweiz politisch betätigen. Ebenso wenig vermag der Umstand, dass sich der Beschwerdeführer in seiner Heimat politisch betätigt hat, zur Zuerkennung von subjektiven Nachfluchtgründen zu führen, zumal er dort - wie in E. 4. dargelegt - vor seiner Ausreise nicht in asylrelevanter Weise verfolgt worden ist. Allein aufgrund der Tatsache, dass der Beschwerdeführer in der Schweiz ein Asylgesuch gestellt hat, muss er bei einer Rückkehr nach Syrien nicht eine behördlicher Verfolgung fürchten.</w:t>
      </w:r>
    </w:p>
    <w:p>
      <w:r>
        <w:rPr>
          <w:b/>
        </w:rPr>
        <w:t>E. 5.4</w:t>
      </w:r>
    </w:p>
    <w:p>
      <w:r>
        <w:t>Somit ist festzuhalten, dass der Beschwerdeführer die Flüchtlingseigenschaft auch unter dem Aspekt der subjektiven Nachfluchtgründe nicht nachzuweisen oder glaubhaft zu machen vermag.</w:t>
      </w:r>
    </w:p>
    <w:p>
      <w:r>
        <w:rPr>
          <w:b/>
        </w:rPr>
        <w:t>E. 6</w:t>
      </w:r>
    </w:p>
    <w:p>
      <w:r>
        <w:t>Aufgrund der vorstehenden Erwägungen erübrigt es sich, auf die weiteren Ausführungen in der Beschwerde und die übrigen eingereichten Beweismittel im Einzelnen einzugehen, weil sie am Ergebnis nichts ändern. Unter Berücksichtigung der gesamten Umstände folgt, dass der Beschwerdeführer keine Gründe nach Art. 3 AsylG nachweisen oder glaubhaft machen konnte. Das Bundesamt hat sein Asylgesuch somit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In Bezug auf die allgemeine Sicherheits- und Menschenrechtslage in Syrien kommt das Bundesverwaltungsgericht insgesamt zum Schluss, dass in Syrien keine Kriegs- oder Bürgerkriegssituation und auch keine Situation allgemeiner Gewalt herrscht und ein Vollzug der Wegweisung grundsätzlich nicht unzumutbar erscheint. Vorliegend sind den Akten auch keine Anhaltspunkte für individuelle Unzumutbarkeitsindizien zu entnehmen. Der Beschwerdeführer hält sich erst seit etwas mehr als eineinhalb Jahren ausserhalb seines Heimatlandes auf, weshalb nicht anzunehmen ist, dass er bei einer Rückkehr mit Schwierigkeiten konfrontiert werden könnte. Der - soweit den Akten zu entnehmen ist - gesunde Beschwerdeführer hat bis zu seiner Ausreise im Juni 2008 immer in Syrien gelebt, wo er die Schule besucht, studiert und insbesondere gearbeitet hat. Da der Beschwerdeführer über einen Universitätsabschluss sowie über Berufserfahrung als Verkäufer verfügt, ist davon auszugehen, er könne sich in seiner Heimat auch in wirtschaftlicher Hinsicht wieder integrieren. Gemäss seinen Angaben leben seine Mutter und seine Geschwister nach wie vor in Syrien. Vor diesem Hintergrund ist davon auszugehen, dass der Beschwerdeführer in seinem Heimatland über ein soziales Beziehungsnetz verfügt, welches ihm eine Reintegration erleichtern kann. Blosse soziale und wirtschaftliche Schwierigkeiten, von denen die ansässige Bevölkerung im Allgemeinen betroffen ist, genügen nicht, um eine Gefahr im Sinne von Art. 83 Abs. 4 AuG darzustellen (vgl. die von der ARK begründete und weiterhin zutreffende Praxis in EMARK 1996 Nr. 2 S. 12 f. und EMARK 2005 Nr. 24 E. 10.1, S. 215). Nach dem Gesagten ist der Vollzug der Wegweisung somit auch als zumutbar zu bezeichnen.</w:t>
      </w:r>
    </w:p>
    <w:p>
      <w:r>
        <w:rPr>
          <w:b/>
        </w:rPr>
        <w:t>E. 8.6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19. März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