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D-1247/2023 vom 25. August 2023</w:t>
      </w:r>
    </w:p>
    <w:p>
      <w:r>
        <w:t>Bundesverwaltungsgericht, 2023-08-25, DE</w:t>
      </w:r>
    </w:p>
    <w:p>
      <w:r>
        <w:rPr>
          <w:b/>
        </w:rPr>
        <w:t xml:space="preserve">Quelle: </w:t>
      </w:r>
      <w:r>
        <w:t>https://mcp.opencaselaw.ch/entscheid/bvger_D-1247_2023</w:t>
      </w:r>
    </w:p>
    <w:p>
      <w:r>
        <w:t>FR: TAF D-1247/2023 du 25 août 2023</w:t>
      </w:r>
    </w:p>
    <w:p>
      <w:r>
        <w:t>IT: TAF D-1247/2023 del 25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Hier handelt es sich - aufgrund des in der hier relevanten Rechtsfrage in der Zwischenzeit ergangenen Referenzurteils des Bundesverwaltungsgerichts E-1488/2020 vom 22. März 2023 (zur Publikation als BVGE vorgesehen) - um eine im Urteilszeitpunkt unbegründet gewordene Beschwerde, weshalb der Entscheid summarisch zu begründen ist (Art. 111a Abs. 2 AsylG). Gestützt auf Art. 111a Abs. 1 AsylG wurde auf die Durchführung eines Schriftenwechsels verzichtet.</w:t>
      </w:r>
    </w:p>
    <w:p>
      <w:r>
        <w:rPr>
          <w:b/>
        </w:rPr>
        <w:t>E. 4.1</w:t>
      </w:r>
    </w:p>
    <w:p>
      <w:r>
        <w:t>Die Beschwerdeführerin rügt in formeller Hinsicht eine Verletzung des Anspruchs auf rechtliches Gehör, indem das SEM die Pflicht zur vollständigen und richtigen Sachverhaltsermittlung, die Begründungspflicht und die Untersuchungspflicht verletzt habe und die zugewiesene Rechtsvertretung sie während des Verfahrens nicht begleitet und das Mandat zu Unzeiten niedergelegt habe. Sie macht geltend, das SEM habe das Vorliegen von systemischen Schwachstellen im kroatischen Asylverfahren nicht ausreichend geprüft. Es habe lediglich mit textbausteinartigen Ausführungen und ohne Würdigung ihrer Aussagen begründet, es lägen keine Hinweise vor, dass Kroatien seinen völkerrechtlichen Pflichten nicht nachkommen würde, das Asyl- und Wegweisungsverfahren nicht korrekt durchgeführt würde oder allfällige systemische Schwachstellen vorliegen würden, die eine Gefahr der unmenschlichen oder entwürdigenden Behandlung mit sich brächten. Da die kroatischen Behörden der Rückübernahme nur «teilweise» zugestimmt hätten, sei nicht sichergestellt, dass ihr Asylverfahren vorbehaltslos wiederaufgenommen würde. Das SEM hätte auch klären müssen, ob zwingend ein Selbsteintritt angezeigt gewesen wäre. Es habe aber den dafür notwendigen medizinischen Sachverhalt nicht vollständig erstellt. Das SEM habe sich nicht mit der erlebten physischen und psychischen Gewalt, der Vorenthaltung von Nahrung und Flüssigkeit und ihrem geschädigten Vertrauen in den kroatischen Staat auseinandergesetzt. Auch habe es keine Abklärung der geltend gemachten gesundheitlichen Beschwerden gegeben. Das SEM habe lediglich pauschal festgehalten, Kroatien verfüge über eine ausreichende medizinische Infrastruktur und sei verpflichtet, eine solche zu gewährleisten. Hierbei liege eine Ermessensunterschreitung (betreffend die Anwendung humanitärer Gründe) vor, weshalb die Sache zur vollständigen Sachverhaltsabklärung - auch zur weiteren Erstellung des medizinischen Sachverhalts insbesondere in Bezug auf mögliche psychische Probleme - an die Vorinstanz zurückzuweisen sei. Weiter habe die ihr zugewiesene Rechtsvertretung sie nicht ausreichend auf das Dublin-Gespräch vorbereitet und sei während des Gesprächs nicht anwesend gewesen. Vielmehr habe sie (die Beschwerdeführerin) die Rechtsvertretung das erste Mal - und nur in Person eines Stellvertreters - gesehen, als sie den Nichteintretensentscheid erhalten und die Rechtsvertretung das Mandat niedergelegt habe; davor habe sie keine Möglichkeit gehabt, sich mit ihrer Rechtsvertretung auszutauschen; diese sei während des gesamten Verfahrens nicht anwesend gewesen. Sie sei diesbezüglich nicht über ihre Rechte informiert worden und habe auch nicht ausdrücklich auf ihre Rechtsvertretung verzichtet. Die fehlende Vertretung stelle eine Verletzung ihres rechtlichen Gehörs sowie einen gravierenden Verfahrensfehler dar. Darüber hinaus habe die Rechtsvertretung die Verfügung des SEM bereits am 24. Februar 2023 erhalten, diese aber erst am 27. Februar 2023 der Beschwerdeführerin ausgehändigt. Dass die Mandatsniederlegung auch erst an diesem Tag erfolgte, sei entgegen dem Wortlaut aus Art. 102h Abs. 4 AsylG nicht «so rasch wie möglich» geschehen, sodass ihre neue Rechtsvertreterin für das Verfassen der Beschwerde nur noch drei Arbeitstage anstatt derer fünf gehabt habe.</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an der Mitwirkungspflicht der Asylsuchenden (vgl. Art. 8 AsylG).</w:t>
      </w:r>
    </w:p>
    <w:p>
      <w:r>
        <w:rPr>
          <w:b/>
        </w:rPr>
        <w:t>E. 4.3</w:t>
      </w:r>
    </w:p>
    <w:p>
      <w:r>
        <w:t>Der Anspruch auf rechtliches Gehör (Art. 29 Abs. 2 BV, Art.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Soweit die Beschwerdeführerin geltend macht, die kroatischen Behörden hätten dem Übernahmegesuch nur teilweise zugestimmt, ist festzustellen, dass die kroatischen Behörden die Beschwerdeführerin mit Schreiben vom 13 Februar 2023 im Sinne von Art. 13 Abs. 1 Dublin-III-VO ohne Vorbehalt akzeptiert haben (vgl. act. SEM (...): «... and the person mentioned above will be accepted by the Republic of Croatia according to the Article 13 (1) of the European Parliament and Council Regulation (EC) No 604/2013). Die Bereitschaft Kroatiens, die Beschwerdeführerin aufzunehmen und ein allfälliges Asylgesuch zu prüfen, ist damit hinreichend belegt und das SEM traf keine Pflicht, weitere Abklärungen zu treffen. Darüber hinaus hat sich das SEM in seiner Verfügung auch mit dem Gesundheitszustand der Beschwerdeführerin rechtsgenüglich auseinandergesetzt und dazu den medizinischen Sachverhalt - gestützt auf die Angaben der Beschwerdeführerin im Dublin-Gespräch, die vorhandenen medizinischen Akten und die Angaben der internen Pflege des Bundesasylzentrums - zusammengefasst. Entgegen der Auffassung der Beschwerdeführerin hat das SEM keine weiteren Abklärungen zu ihrer Gesundheit machen müssen. Jedenfalls können den medizinischen Unterlagen (vgl. Act. SEM (...)) keine Hinweise entnommen werden, dass solche nötig gewesen wären. Die Vorinstanz ging folglich zurecht vom vollständig und richtig erstellten Sachverhalt aus. Ob die Beurteilung der medizinischen Umstände korrekt erfolgt ist, beschlägt nicht das rechtliche Gehör, sondern die rechtliche Würdigung dieser Sachverhaltselemente.</w:t>
      </w:r>
    </w:p>
    <w:p>
      <w:r>
        <w:rPr>
          <w:b/>
        </w:rPr>
        <w:t>E. 4.5</w:t>
      </w:r>
    </w:p>
    <w:p>
      <w:r>
        <w:t>Es ist auch nicht ersichtlich, dass das SEM in seiner ausführlich begründeten Verfügung vom 21. Februar 2023 keine Würdigung des konkreten Einzelfalles vorgenommen oder von der Beschwerdeführerin als relevant vorgebrachte Sachverhaltselemente nicht berücksichtigt hätte. Aus einer allfälligen Verwendung von Textbausteinen ist noch nicht auf eine Verletzung der Begründungspflicht respektive des rechtlichen Gehörs zu schliessen. Im Weiteren setzte sich das SEM mit der Kritik an den kroatischen Behörden, insbesondere mit den sogenannten Push-backs unter teilweiser Gewaltanwendung, ausführlich auseinander und stellt dabei fest, dass keine Hinweise dafür vorliegen würden, dass den Dublin-Rückkehrenden eine Rückschiebung nach Bosnien und Herzegowina (Kettenabschiebung) oder systematisch Gewalt seitens der kroatischen Polizeibehörde drohe. Zudem verweist das SEM darauf, dass in Kroatien der Zugang zu wirksamen Rechtsmitteln gewährleistet sei. Der rechtserhebliche Sachverhalt wurde diesbezüglich vollständig festgestellt. Die Vorinstanz ist ferner auf die geltend gemachte Behandlung durch die kroatische Polizei und den Gesundheitszustand der Beschwerdeführerin eingegangen. Das SEM ist damit auch seiner Begründungspflicht nachgekommen. Der Beschwerdeführerin war es denn auch problemlos möglich, die vorinstanzliche Verfügung sachgerecht anzufechten. Schliesslich ist der Umstand, dass sie die Auffassung und Schlussfolgerungen der Vorinstanz hinsichtlich der Würdigung ihrer Aussagen nicht teilt, keine Verletzung des rechtlichen Gehörs, sondern betrifft eine materielle Frage über die vorgebrachten Überstellungshindernisse.</w:t>
      </w:r>
    </w:p>
    <w:p>
      <w:r>
        <w:rPr>
          <w:b/>
        </w:rPr>
        <w:t>E. 4.6</w:t>
      </w:r>
    </w:p>
    <w:p>
      <w:r>
        <w:t>Gemäss Art. 102j Abs. 2 AsylG entfalten die Handlungen der Vorinstanz bei rechtzeitiger und korrekter Mitteilung der Termine grundsätzlich auch ohne die Anwesenheit oder Mitwirkung der Rechtsvertretung ihre Rechtswirkung. Vorliegend teilte die Vorinstanz der Rechtsvertretung den Termin für das Dublin-Gespräch vom 12. Januar 2023 am 9. Januar 2023 - und damit rechtzeitig - mit. Die Rechtsvertretung verzichtete aus Kapazitätsgründen auf eine Teilnahme. Des Weiteren erklärte sich die Beschwerdeführerin anlässlich des Dublin-Gesprächs - nachdem das SEM ihr zugesichert hatte, dass eine Kopie des Gesprächsprotokolls umgehend ihrer Rechtsvertretung zugestellt werde - explizit damit einverstanden, dieses ohne ihre Rechtsvertretung durchzuführen. Soweit die Beschwerdeführerin pauschal beanstandet, sie sei während des gesamten Verfahrens nicht (genügend) vertreten gewesen, vermag sie daraus nichts abzuleiten. Weder substanziiert sie ihre Behauptung hinreichend noch sind den Akten Hinweise zu entnehmen, welche die Beanstandung stützen würden. Soweit die Beschwerdeführerin kritisiert, es sei ihr entgegen dem Wortlaut des Protokolls des Dublin-Gesprächs nicht möglich gewesen, sich jederzeit an ihre Rechtsvertretung zu wenden, unterlässt sie es aufzuzeigen, bei welcher Gelegenheit sie dies gewünscht und erfolglos versucht habe. Mit dem blossen Hinweis, «auf Nachfrage» bei der Rechtsvertretung sei ihr gesagt worden, sie müsse abwarten, führt sie nicht aus, mit welchem Anliegen und wann sie an die Rechtsvertretung gelangt sei, weshalb sie aus der angeblichen Antwort der Rechtsvertretung, sie müsse abwarten, nichts abzuleiten vermag. Dieselbe Schlussfolgerung gilt in Bezug auf das unsubstantiierte Vorbringen der Beschwerdeführerin, sie habe ihre «Rechtsvertretung bzw. deren Stellvertretung (!)» das erste Mal gesehen, als sie den Nichteintretensentscheid erhalten und die Rechtsvertretung das Mandat niedergelegt habe, zumal die Beschwerdeführerin auch in diesem Zusammenhang nicht darlegt, inwiefern ihre Erwartungen an die damalige Rechtsvertretung bei jenem Zusammentreffen nicht erfüllt wurden. Im Übrigen war es der Beschwerdeführerin - trotz kritisierter Mandatsniederlegung zur Unzeit - mittels ihrer neuen Rechtsvertreterin offenbar möglich, fristgerecht Beschwerde einzureichen. Nach dem Gesagten liegt keine Verletzung des rechtlichen Gehörs vor (vgl. auch Urteil des BVGer E-5608/2022 vom 31. Mai 2023 E. 5.4 ff. (zur Publikation vorgesehen).</w:t>
      </w:r>
    </w:p>
    <w:p>
      <w:r>
        <w:rPr>
          <w:b/>
        </w:rPr>
        <w:t>E. 4.7</w:t>
      </w:r>
    </w:p>
    <w:p>
      <w:r>
        <w:t>Die formellen Rügen erweisen sich nach dem Gesagten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Zuständigkeitskriterien - in der dort aufgeführten Rangfolge (Art. 7 Abs. 1 Dublin-III-VO) - anzuwenden (vgl.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Ein Abgleich der Fingerabdrücke der Beschwerdeführerin mit der Eurodac-Datenbank ergab, dass sie sich am (...) illegal in Kroatien aufgehalten hatte. Die Vorinstanz ersuchte deshalb am 13. Dezember 2022 die kroatischen Behörden um Aufnahme der Beschwerdeführerin gestützt auf Art. 13 Abs. 1 Dublin-III-VO. Diese stimmten dem Ersuchen am 13. Februar 2023 zu. Wie bereits dargestellt - und entgegen der Auffassung der Beschwerdeführerin - haben die kroatischen Behörden ihre Zustimmung zur Aufnahme gemäss Art. 13 Abs. 1 Dublin-III-VO ohne Vorbehalt gegeben (vgl. oben E. 4.4), wodurch sich Kroatien auch als zuständigen Staat für einen Antrag der Beschwerdeführerin auf internationalen Schutz erklärte. Die grundsätzliche Zuständigkeit Kroatiens zur Durchführung des Asyl- und Wegweisungsverfahrens ist somit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In seinem Referenzurteil (vgl. Urteil E-1488/2020 vom 22. März 2023) hielt das Bundesverwaltungsgericht fest, es sei nicht davon auszugehen, das Asylverfahren und die Aufnahmebedingungen in Kroatien wiesen systemische Schwachstellen im Sinn von Art. 3 Abs. 2 Sätze 2 und 3 Dublin-III-VO auf. Es bestätigte damit seine seit dem Referenzurteil D-1611/2016 vom 22. März 2016 bestehende Praxis, wonach Dublin-Überstellungen nach Kroatien grundsätzlich sowohl in "Take-Charge-" (Aufnahme) als auch "Take-Back-" (Wiederaufnahme) Verfahren zulässig sind (vgl. a.a.O. E. 9.5).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(vgl.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(vgl. a.a.O. E. 9.4.4). Im Ergebnis sei davon auszugehen, dass Gesuchstellende, welche gestützt auf die Dublin-III-VO nach Kroatien überstellt würden, Zugang zum dortigen Asylverfahren erhielten. Insbesondere bestehe keine beachtliche Wahrscheinlichkeit, die Überstellten würden der Gefahr einer Verletzung ihrer aus dem Refoulement-Verbot fliessenden Rechte ausgesetzt (vgl. a.a.O. E. 9.5).</w:t>
      </w:r>
    </w:p>
    <w:p>
      <w:r>
        <w:rPr>
          <w:b/>
        </w:rPr>
        <w:t>E. 7.3</w:t>
      </w:r>
    </w:p>
    <w:p>
      <w:r>
        <w:t>Mit Blick auf diese Rechtsprechung erweist sich die Anwendung von Art. 3 Abs. 2 Dublin-III-VO auch unter Berücksichtigung der Vorbringen in der Beschwerde als nicht gerechtfertigt.</w:t>
      </w:r>
    </w:p>
    <w:p>
      <w:r>
        <w:rPr>
          <w:b/>
        </w:rPr>
        <w:t>E. 8.1</w:t>
      </w:r>
    </w:p>
    <w:p>
      <w:r>
        <w:t>Weiter ist zu prüfen, ob völkerrechtliche Vollzugshindernisse bestehen, woraus zwingende Gründe für einen Selbsteintritt nach Art. 17 Abs. 1 Dublin-III-VO respektive Art. 29a Abs. 3 AsylV ergeben würde.</w:t>
      </w:r>
    </w:p>
    <w:p>
      <w:r>
        <w:rPr>
          <w:b/>
        </w:rPr>
        <w:t>E. 8.2</w:t>
      </w:r>
    </w:p>
    <w:p>
      <w:r>
        <w:t>Das Bundesverwaltungsgericht verkennt nicht, dass das Verhalten der kroatischen Grenz- und Polizeibehörden und die Behandlung von illegal Einreisenden problematisch sein können. Die Beschwerdeführerin vermag mit ihren Ausführungen indessen nicht darzutun, dass sie dort - nach legaler Rückkehr aus einem Dublin-Mitgliedstaat - kein faires Asylverfahren erhalten und sie ernsthaft Gefahr laufen würde, bei einer Rückkehr dorthin unmenschlich oder erniedrigend im Sinne von Art. 3 EMRK oder Art. 3 FoK behandelt zu werden. Sie wird sich nach der Dublin-Überstellung in einer anderen Situation als bei ihrer ersten (illegalen) Einreise nach Kroatien befinden. Das Bundesverwaltungsgericht geht davon aus, dass Kroatien grundsätzlich als Rechtsstaat mit einem funktionierenden Justizsystem einzustufen ist. Bei einer allfälligen vorübergehenden Einschränkung kann sie sich im Übrigen nötigenfalls an die kroatischen Behörden wenden und die ihr zustehenden Aufnahmebedingungen auf dem Rechtsweg einfordern (vgl. Art. 26 Aufnahmerichtlinie).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Die Beschwerdeführerin hat auch keine konkreten Hinweise für die Annahme dargetan, Kroatien würde ihr dauerhaft die gemäss Aufnahmerichtlinie zustehenden minimalen Lebensbedingungen vorenthalten. Zusammenfassend bestehen keine Hinweise dafür, dass die Beschwerdeführerin bei einer Rückkehr nach Kroatien in individueller Hinsicht keinen Zugang zu einem rechtsstaatlichen Verfahren und keine menschenwürdigen Lebensbedingungen hätte.</w:t>
      </w:r>
    </w:p>
    <w:p>
      <w:r>
        <w:rPr>
          <w:b/>
        </w:rPr>
        <w:t>E. 8.3.1</w:t>
      </w:r>
    </w:p>
    <w:p>
      <w:r>
        <w:t>Soweit die Beschwerdeführerin geltend macht, eine Überstellung nach Kroatien setze sie einer Gefahr für ihre Gesundheit aus und verletze damit Art. 3 EMRK, ist Folgendes festzuhalten.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Den Akten ist zu entnehmen, dass die Beschwerdeführerin aufgrund von Schmerzen (...), (...), (...), aufgrund von (...) sowie aufgrund psychischer Probleme beim medizinischen Schalter des Bundesasylzentrums vorstellig wurde. Bei einer medizinischen Untersuchung wurde (...) festgestellt (vgl. Act. SEM (...)). Gemäss Vorakten ist die Beschwerdeführerin seit Ende Januar nicht mehr am medizinischen Schalter vorbeigekommen (vgl. a.a.O.).</w:t>
      </w:r>
    </w:p>
    <w:p>
      <w:r>
        <w:rPr>
          <w:b/>
        </w:rPr>
        <w:t>E. 8.3.3</w:t>
      </w:r>
    </w:p>
    <w:p>
      <w:r>
        <w:t>Vor diesem Hintergrund können die gesundheitlichen Beschwerden offensichtlich nicht als derart schwerwiegend betrachtet werden, dass die Beschwerdeführerin bei einer Überstellung nach Kroatien mit dem Risiko einer ernsten, raschen und unwiederbringlichen Verschlechterung des Gesundheitszustands rechnen müsste, und es kann - auch ohne weiterführende medizinische Abklärungen - davon ausgegangen werden, dass eine Überstellung der Beschwerdeführerin nach Kroatien keine Verletzung von Art. 3 EMRK zur Folge hätte. Im Übrigen verfügt Kroatien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(nötigenfalls einschliesslich einer geeigneten psychologischen Betreuung) zu gewähren (Art. 19 Abs. 2 Aufnahmerichtlinie).</w:t>
      </w:r>
    </w:p>
    <w:p>
      <w:r>
        <w:rPr>
          <w:b/>
        </w:rPr>
        <w:t>E. 8.4</w:t>
      </w:r>
    </w:p>
    <w:p>
      <w:r>
        <w:t>Demzufolge bestehen keine völkerrechtliche Vollzugshindernisse, welche die Schweiz zu einem Selbsteintritt verpflichten würden.</w:t>
      </w:r>
    </w:p>
    <w:p>
      <w:r>
        <w:rPr>
          <w:b/>
        </w:rPr>
        <w:t>E. 8.5.1</w:t>
      </w:r>
    </w:p>
    <w:p>
      <w:r>
        <w:t>Gemäss Praxis des Bundesverwaltungsgerichts verfügt das SEM bei der Anwendung der Kann-Bestimmungen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Somit bleibt Kroatien der für die Behandlung des Asylgesuchs des Beschwerdeführers zuständige Mitgliedstaat.</w:t>
      </w:r>
    </w:p>
    <w:p>
      <w:r>
        <w:rPr>
          <w:b/>
        </w:rPr>
        <w:t>E. 10</w:t>
      </w:r>
    </w:p>
    <w:p>
      <w:r>
        <w:t>Die Vorinstanz ist nach dem Gesagten zu Recht in Anwendung von Art. 31a Abs. 1 Bst. b AsylG auf das Asylgesuch der Beschwerdeführerin nicht eingetreten und hat in Anwendung von Art. 44 AsylG ebenfalls zu Recht die Wegweisung nach Kroatien angeordnet.</w:t>
      </w:r>
    </w:p>
    <w:p>
      <w:r>
        <w:rPr>
          <w:b/>
        </w:rPr>
        <w:t>E. 11</w:t>
      </w:r>
    </w:p>
    <w:p>
      <w:r>
        <w:t>Die Beschwerde ist demnach abzuweisen und die Verfügung des SEM zu bestätigen.</w:t>
      </w:r>
    </w:p>
    <w:p>
      <w:r>
        <w:rPr>
          <w:b/>
        </w:rPr>
        <w:t>E. 12</w:t>
      </w:r>
    </w:p>
    <w:p>
      <w:r>
        <w:t>Bei diesem Ausgang des Verfahrens wären die Kosten grundsätzlich dem Beschwerdeführer aufzuerlegen (Art. 63 Abs. 1 VwVG). Nachdem aber mit Zwischenverfügung vom 9. März 2023 die unentgeltliche Prozessführung gemäss Art. 65 Abs. 1 VwVG gewährt wurde, sind keine Verfahrenskosten zu erheben.</w:t>
      </w:r>
    </w:p>
    <w:p>
      <w:r>
        <w:rPr>
          <w:b/>
        </w:rPr>
        <w:t>E. 13</w:t>
      </w:r>
    </w:p>
    <w:p>
      <w:r>
        <w:t>In derselben Verfügung wurde auch das Gesuch um Gewährung der unentgeltlichen Rechtsverbeiständung entsprochen und die Rechtsvertreterin als amtliche Rechtsbeiständin eingesetzt. In der eingereichten Kostennote wurde ein Aufwand von insgesamt 5 Stunden zu einem Stundenansatz von Fr. 225.- und Auslagen in der Höhe von Fr. 101.70 geltend gemacht. Das Gericht erachtet den geltend gemachten zeitlichen Aufwand als angemessen. Bei amtlicher Vertretung durch Anwältinnen und Anwälte geht das Gericht allerdings von einem Stundensatz von Fr. 220.- aus. Der amtlichen Rechtsbeiständin ist somit durch das Gericht ein Honorar in der Höhe von insgesamt Fr. 1'201.70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