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D-1242/2012 vom 20. April 2012</w:t>
      </w:r>
    </w:p>
    <w:p>
      <w:r>
        <w:t>Bundesverwaltungsgericht, 2012-04-20, DE</w:t>
      </w:r>
    </w:p>
    <w:p>
      <w:r>
        <w:rPr>
          <w:b/>
        </w:rPr>
        <w:t xml:space="preserve">Quelle: </w:t>
      </w:r>
      <w:r>
        <w:t>https://mcp.opencaselaw.ch/entscheid/bvger_D-1242_2012</w:t>
      </w:r>
    </w:p>
    <w:p>
      <w:r>
        <w:t>FR: TAF D-1242/2012 du 20 avril 2012</w:t>
      </w:r>
    </w:p>
    <w:p>
      <w:r>
        <w:t>IT: TAF D-1242/2012 del 20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darauf hinzuweisen, dass der Beschwerdeführer den Wortlaut der Protokolle mit seiner Unterschrift bestätigt hat und sich deshalb seine Aussagen entgegenhalten lassen muss, zumal er die übersetzenden Personen bei beiden Befragungen verstanden haben will (vgl. Akten BFM C 8/11 S. 8, C 37/20 S. 1).</w:t>
      </w:r>
    </w:p>
    <w:p>
      <w:r>
        <w:rPr>
          <w:b/>
        </w:rPr>
        <w:t>E. 5.2</w:t>
      </w:r>
    </w:p>
    <w:p>
      <w:r>
        <w:t>Nach Prüfung der Akten durch das Gericht ist - in Übereinstimmung mit der Vorinstanz - festzustellen, dass die Asylvorbringen des Beschwerdeführers den Anforderungen an die Glaubhaftigkeit gemäss Art. 7 AsylG nicht standzuhalten vermögen beziehungsweise nicht asylrelevant sind, weshalb diesbezüglich vorab auf die ausführlichen und zutreffenden vorinstanzlichen Erwägungen zu verweisen ist (vgl. Ziffer I, Bst. D. vorstehend). Die Vorbringen in der Rechtsmittelschrift sind nicht geeignet, eine Änderung der vorinstanzlichen Verfügung zu bewirken. Der Argumentation des BFM werden keine stichhaltigen und substanziierten Gründe entgegengesetzt. Insbesondere vermag die Behauptung in der Beschwerde, wonach die Datenblätter von den türkischen Behörden nur vordergründig gelöscht würden, damit in juristischer Hinsicht keine Beschwerdemöglichkeit gegeben sei, nicht zu überzeugen, zumal sie durch nichts belegt wird. Soweit in der Rechtsmittelschrift zudem geltend gemacht wird, der Beschwerdeführer sei im Vorstand der Halkevleri Filiale in F._______ gewesen, ist festzuhalten, dass dieses Vorbringen als nachgeschoben und damit unglaubhaft zu beurteilen ist, da der Beschwerdeführer eine derartige (politische) Tätigkeit anlässlich der protokollierten Befragungen nicht erwähnt hat. An dieser Einschätzung vermag auch das eingereichte Bestätigungsschreiben des Präsidenten der Halkevleri Filiale in F._______ vom 19. Februar 2012 nichts zu ändern, zumal keine Gewähr für die Echtheit dieses Schreibens besteht. Im Weiteren ist festzustellen, dass der Beschwerdeführer sein Heimatland nicht aus eigenem Antrieb verlassen haben will (C 37/20 S. 17), was den Schluss zulässt, dass er persönlich keine asylrelevanten Nachteile befürchtete.</w:t>
      </w:r>
    </w:p>
    <w:p>
      <w:r>
        <w:rPr>
          <w:b/>
        </w:rPr>
        <w:t>E. 5.3</w:t>
      </w:r>
    </w:p>
    <w:p>
      <w:r>
        <w:t>Zusammenfassend ist daher festzuhalten, dass es dem Beschwerdeführer nicht gelungen ist, nachzuweisen oder zumindest glaubhaft zu machen, dass er in seiner Heimat ernsthafte Nachteile gemäss Art. 3 AsylG erlitten hat oder solche bei der Ausreise zu befürchten hatte oder im Falle einer Rückkehr in die Türkei befürchten müsste. Der Beschwerdeführer vermag mit seinen Beschwerdevorbringen und den eingereichten Beweismitteln zu keiner anderen Betrachtungsweise zu führen, weshalb es sich erübrigt, weiter darauf einzugehen. Das BFM hat demnach zu Recht die Flüchtlingseigenschaft des Beschwerdeführers verneint und dessen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 oder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Vorab ist festzustellen, dass angesichts der heutigen Lage in der Türkei nicht von einer Situation allgemeiner Gewalt oder von kriegeri­schen oder bürgerkriegsähnlichen Verhältnissen gesprochen werden kann, welche für den Beschwerdeführer bei einer Rückkehr eine konkrete Gefährdung darstellen würde.</w:t>
      </w:r>
    </w:p>
    <w:p>
      <w:r>
        <w:rPr>
          <w:b/>
        </w:rPr>
        <w:t>E. 7.3.3</w:t>
      </w:r>
    </w:p>
    <w:p>
      <w:r>
        <w:t>Auch aufgrund der persönlichen Situation des Beschwerdeführers sind keine Gründe ersichtlich, die gegen die Zumutbarkeit des Wegweisungsvollzugs sprechen. Der junge, ledige Beschwerdeführer verfügt über eine gute Ausbildung, weshalb anzunehmen ist, er könne sich in seiner Heimat wieder wirtschaftlich integrieren. Gemäss seinen Angaben leben überdies seine Eltern sowie weitere nahe Verwandte in der Türkei. Vor diesem Hintergrund ist davon auszugehen, dass der Beschwerdeführer in seiner Heimat über ein soziales Beziehungsnetz verfügt, welches ihm eine Reintegration erleichtern kann. Blosse soziale und wirtschaftliche Schwierigkeiten, von denen die ansässige Bevölkerung im Allgemeinen betroffen ist, genügen nicht, um eine konkrete Gefährdung im Sinne von Art. 83 Abs. 4 AuG darzustellen (vgl. BVGE 2008/34 E. 11.2.2). Soweit im eingereichten Zeugnis der Psychologin H._______ vom 5. März 2012 festgehalten wird, der Beschwerdeführer leide an einer posttraumatischen Belastungsstörung sowie an einer mittelgradigen depressiven Störung, ist darauf hinzuweisen, dass in der Türkei die medizinische Grundversorgung gewährleistet ist. Die geltend gemachten psychischen Probleme des Beschwerdeführers sind demzufolge auch in der Türkei, sofern notwendig, behandelbar. Nach dem Gesagten ist der Vollzug der Wegweisung somit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Folglich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600.--festzusetzen (Art. 1-3 des Reglements vom 21. Februar 2008 über die Kosten und Entschädigungen vor dem Bundesverwaltungsgericht [VGKE, SR 173.320.2]) und mit dem am 26. März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